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153AC" w14:textId="77777777" w:rsidR="0071611B" w:rsidRPr="0085116C" w:rsidRDefault="0071611B" w:rsidP="001A6AAC">
      <w:pPr>
        <w:spacing w:before="240"/>
        <w:jc w:val="center"/>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1513C1DB" w14:textId="77777777" w:rsidR="0071611B" w:rsidRDefault="0071611B" w:rsidP="001A6AAC">
      <w:pPr>
        <w:spacing w:before="240"/>
        <w:jc w:val="center"/>
        <w:rPr>
          <w:rFonts w:ascii="Times New Roman" w:hAnsi="Times New Roman" w:cs="Times New Roman"/>
          <w:sz w:val="24"/>
          <w:szCs w:val="24"/>
        </w:rPr>
      </w:pPr>
      <w:r w:rsidRPr="0085116C">
        <w:rPr>
          <w:rFonts w:ascii="Times New Roman" w:hAnsi="Times New Roman" w:cs="Times New Roman"/>
          <w:sz w:val="24"/>
          <w:szCs w:val="24"/>
        </w:rPr>
        <w:t xml:space="preserve">uzavřená dle </w:t>
      </w:r>
      <w:proofErr w:type="spellStart"/>
      <w:r w:rsidRPr="0085116C">
        <w:rPr>
          <w:rFonts w:ascii="Times New Roman" w:hAnsi="Times New Roman" w:cs="Times New Roman"/>
          <w:sz w:val="24"/>
          <w:szCs w:val="24"/>
        </w:rPr>
        <w:t>ust</w:t>
      </w:r>
      <w:proofErr w:type="spellEnd"/>
      <w:r w:rsidRPr="0085116C">
        <w:rPr>
          <w:rFonts w:ascii="Times New Roman" w:hAnsi="Times New Roman" w:cs="Times New Roman"/>
          <w:sz w:val="24"/>
          <w:szCs w:val="24"/>
        </w:rPr>
        <w:t>. § 2586 a násl. zákona č. 89/2012 Sb., občanský zákoník, v platném znění, níže uvedeného dne, měsíce a roku, mezi:</w:t>
      </w:r>
    </w:p>
    <w:p w14:paraId="3200B644" w14:textId="77777777" w:rsidR="0071611B" w:rsidRPr="0085116C" w:rsidRDefault="0071611B" w:rsidP="001A6AAC">
      <w:pPr>
        <w:spacing w:before="240"/>
        <w:jc w:val="both"/>
        <w:rPr>
          <w:rFonts w:ascii="Times New Roman" w:hAnsi="Times New Roman" w:cs="Times New Roman"/>
          <w:sz w:val="24"/>
          <w:szCs w:val="24"/>
        </w:rPr>
      </w:pPr>
    </w:p>
    <w:p w14:paraId="605D2206" w14:textId="77777777" w:rsidR="0071611B" w:rsidRPr="0071611B" w:rsidRDefault="0071611B" w:rsidP="005615B4">
      <w:pPr>
        <w:spacing w:after="0"/>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p>
    <w:p w14:paraId="6FEF196B"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Purkyňova 446, 547 01 Náchod</w:t>
      </w:r>
    </w:p>
    <w:p w14:paraId="42AF0486"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F4D5CD3"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65EEE3D1"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p>
    <w:p w14:paraId="18A6A89D"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 xml:space="preserve">Bankovní spojení: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4C9F40C9" w14:textId="77777777" w:rsidR="0071611B" w:rsidRPr="0071611B" w:rsidRDefault="0071611B" w:rsidP="005615B4">
      <w:pPr>
        <w:spacing w:after="0"/>
        <w:ind w:left="2120"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Pr="0071611B">
        <w:rPr>
          <w:rFonts w:ascii="Times New Roman" w:hAnsi="Times New Roman" w:cs="Times New Roman"/>
        </w:rPr>
        <w:t xml:space="preserve">RNDr. Bc. Jan Mach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1485503D"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w:t>
      </w:r>
      <w:proofErr w:type="spellStart"/>
      <w:r w:rsidRPr="0071611B">
        <w:rPr>
          <w:rFonts w:ascii="Times New Roman" w:hAnsi="Times New Roman" w:cs="Times New Roman"/>
        </w:rPr>
        <w:t>Hrabčuk</w:t>
      </w:r>
      <w:proofErr w:type="spellEnd"/>
      <w:r w:rsidRPr="0071611B">
        <w:rPr>
          <w:rFonts w:ascii="Times New Roman" w:hAnsi="Times New Roman" w:cs="Times New Roman"/>
        </w:rPr>
        <w:t xml:space="preserve">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5963F93E" w14:textId="77777777" w:rsidR="0071611B" w:rsidRPr="0071611B" w:rsidRDefault="0071611B" w:rsidP="005615B4">
      <w:pPr>
        <w:spacing w:after="0"/>
        <w:jc w:val="both"/>
        <w:rPr>
          <w:rFonts w:ascii="Times New Roman" w:hAnsi="Times New Roman" w:cs="Times New Roman"/>
          <w:u w:val="single"/>
        </w:rPr>
      </w:pPr>
      <w:r w:rsidRPr="0071611B">
        <w:rPr>
          <w:rFonts w:ascii="Times New Roman" w:hAnsi="Times New Roman" w:cs="Times New Roman"/>
          <w:u w:val="single"/>
        </w:rPr>
        <w:t>na straně první (dále jen jako „objednatel“ nebo „ONN“)</w:t>
      </w:r>
    </w:p>
    <w:p w14:paraId="22FE8225" w14:textId="77777777" w:rsidR="00C91CE1" w:rsidRPr="0071611B" w:rsidRDefault="00C91CE1" w:rsidP="005615B4">
      <w:pPr>
        <w:spacing w:after="0"/>
        <w:rPr>
          <w:sz w:val="20"/>
          <w:szCs w:val="20"/>
        </w:rPr>
      </w:pPr>
    </w:p>
    <w:p w14:paraId="252F9CFA" w14:textId="77777777" w:rsidR="0071611B" w:rsidRPr="0071611B" w:rsidRDefault="0071611B" w:rsidP="005615B4">
      <w:pPr>
        <w:spacing w:after="0"/>
        <w:jc w:val="both"/>
        <w:rPr>
          <w:rFonts w:ascii="Times New Roman" w:hAnsi="Times New Roman" w:cs="Times New Roman"/>
          <w:b/>
          <w:bCs/>
        </w:rPr>
      </w:pPr>
      <w:r w:rsidRPr="0071611B">
        <w:rPr>
          <w:rFonts w:ascii="Times New Roman" w:hAnsi="Times New Roman" w:cs="Times New Roman"/>
          <w:b/>
          <w:bCs/>
        </w:rPr>
        <w:t xml:space="preserve">a </w:t>
      </w:r>
    </w:p>
    <w:p w14:paraId="2EA5E2E3" w14:textId="77777777" w:rsidR="0071611B" w:rsidRPr="0071611B" w:rsidRDefault="0071611B" w:rsidP="005615B4">
      <w:pPr>
        <w:spacing w:after="0"/>
        <w:jc w:val="both"/>
        <w:rPr>
          <w:rFonts w:ascii="Times New Roman" w:hAnsi="Times New Roman" w:cs="Times New Roman"/>
          <w:u w:val="single"/>
        </w:rPr>
      </w:pPr>
    </w:p>
    <w:p w14:paraId="2CFDDD8E"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229682E"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98E6D27"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7FE2CBC"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D0711A5" w14:textId="77777777" w:rsidR="0071611B" w:rsidRPr="0071611B" w:rsidRDefault="0071611B" w:rsidP="005615B4">
      <w:pPr>
        <w:spacing w:after="0"/>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233CCF9E" w14:textId="77777777" w:rsidR="0071611B" w:rsidRPr="0071611B" w:rsidRDefault="0071611B" w:rsidP="005615B4">
      <w:pPr>
        <w:spacing w:after="0"/>
        <w:jc w:val="both"/>
        <w:rPr>
          <w:rFonts w:ascii="Times New Roman" w:hAnsi="Times New Roman" w:cs="Times New Roman"/>
        </w:rPr>
      </w:pPr>
    </w:p>
    <w:p w14:paraId="6EF5B0B8"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62897841"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4ED747BA"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0388F72A" w14:textId="4C9FB0A6" w:rsidR="0071611B" w:rsidRPr="0071611B" w:rsidRDefault="0071611B" w:rsidP="001A6AAC">
      <w:pPr>
        <w:spacing w:before="240"/>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6F2FE50F" w14:textId="77777777" w:rsidR="0071611B" w:rsidRPr="0071611B" w:rsidRDefault="0071611B" w:rsidP="001A6AAC">
      <w:pPr>
        <w:spacing w:before="240"/>
        <w:jc w:val="center"/>
        <w:rPr>
          <w:rFonts w:ascii="Times New Roman" w:eastAsiaTheme="majorEastAsia" w:hAnsi="Times New Roman" w:cs="Times New Roman"/>
          <w:sz w:val="24"/>
          <w:szCs w:val="24"/>
        </w:rPr>
      </w:pPr>
    </w:p>
    <w:p w14:paraId="38B3E676" w14:textId="60BD6E73" w:rsidR="0071611B" w:rsidRPr="0071611B"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12B21CD9" w14:textId="61149B75"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Smluvní strany berou na vědomí, že tato smlouva představuje součást zadávací dokumentace veřejné zakázky s názvem „Vytvoření </w:t>
      </w:r>
      <w:proofErr w:type="spellStart"/>
      <w:r w:rsidRPr="0071611B">
        <w:rPr>
          <w:rFonts w:ascii="Times New Roman" w:hAnsi="Times New Roman" w:cs="Times New Roman"/>
        </w:rPr>
        <w:t>eHEALTH</w:t>
      </w:r>
      <w:proofErr w:type="spellEnd"/>
      <w:r w:rsidRPr="0071611B">
        <w:rPr>
          <w:rFonts w:ascii="Times New Roman" w:hAnsi="Times New Roman" w:cs="Times New Roman"/>
        </w:rPr>
        <w:t xml:space="preserve"> platformy pro komunikaci, výměnu a sdílení informací mezi poskytovateli zdravotních služeb, pacienty a informačními systémy pro Oblastní nemocnici Náchod a.s. a Nemocnici Rychnov nad Kněžnou“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2712CAE3" w14:textId="47B0F243" w:rsidR="0071611B" w:rsidRPr="001708BA"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Tato smlouva je uzavírána na základě výsledku zadávacího řízení a jeho </w:t>
      </w:r>
      <w:r w:rsidRPr="00017D38">
        <w:rPr>
          <w:rFonts w:ascii="Times New Roman" w:hAnsi="Times New Roman" w:cs="Times New Roman"/>
          <w:i/>
          <w:iCs/>
        </w:rPr>
        <w:t>dílčí části 4 - Informační systém pro transfuzní službu pro Oblastní nemocnici Náchod a.s.</w:t>
      </w:r>
      <w:r w:rsidRPr="0071611B">
        <w:rPr>
          <w:rFonts w:ascii="Times New Roman" w:hAnsi="Times New Roman" w:cs="Times New Roman"/>
        </w:rPr>
        <w:t>; a dále ve smyslu</w:t>
      </w:r>
      <w:r>
        <w:rPr>
          <w:rFonts w:ascii="Times New Roman" w:hAnsi="Times New Roman" w:cs="Times New Roman"/>
        </w:rPr>
        <w:t xml:space="preserve"> </w:t>
      </w:r>
      <w:r w:rsidRPr="0071611B">
        <w:rPr>
          <w:rFonts w:ascii="Times New Roman" w:hAnsi="Times New Roman" w:cs="Times New Roman"/>
        </w:rPr>
        <w:t>aktuálního znění Zákona č. 134/2016 Sb. (dále jen „ZZVZ“)</w:t>
      </w:r>
      <w:r>
        <w:rPr>
          <w:rFonts w:ascii="Times New Roman" w:hAnsi="Times New Roman" w:cs="Times New Roman"/>
        </w:rPr>
        <w:t>.</w:t>
      </w:r>
    </w:p>
    <w:p w14:paraId="2BC1ABF4" w14:textId="77777777" w:rsidR="0071611B" w:rsidRPr="0071611B" w:rsidRDefault="0071611B" w:rsidP="001A6AAC">
      <w:pPr>
        <w:spacing w:before="240"/>
        <w:jc w:val="both"/>
        <w:rPr>
          <w:rFonts w:ascii="Times New Roman" w:hAnsi="Times New Roman" w:cs="Times New Roman"/>
        </w:rPr>
      </w:pPr>
    </w:p>
    <w:p w14:paraId="7EF3FA4A" w14:textId="2058B59B" w:rsidR="0071611B" w:rsidRPr="0071611B"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70D5E509" w14:textId="555E848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58C089B9" w14:textId="482020A0"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dodávce softwaru (informačního systému) včetně licencí dle přiložené technické specifikace, zahrnující pokročilé bezpečnostní technologie chránící před moderními kybernetickými bezpečnostními hrozbami, </w:t>
      </w:r>
    </w:p>
    <w:p w14:paraId="6D7056FF" w14:textId="2E3330D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097EF3C6" w14:textId="77777777" w:rsidR="00EB05AB" w:rsidRDefault="0071611B" w:rsidP="00EB05AB">
      <w:pPr>
        <w:spacing w:before="240"/>
        <w:ind w:left="360"/>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31DFF0FF" w14:textId="4227BCB3" w:rsidR="0071611B" w:rsidRPr="0071611B" w:rsidRDefault="0071611B" w:rsidP="00EB05AB">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Součástí předmětu plnění je dále:</w:t>
      </w:r>
    </w:p>
    <w:p w14:paraId="772D3D53" w14:textId="11E5E185"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bookmarkStart w:id="2" w:name="_Hlk178944132"/>
      <w:r w:rsidRPr="0071611B">
        <w:rPr>
          <w:rFonts w:ascii="Times New Roman" w:hAnsi="Times New Roman" w:cs="Times New Roman"/>
        </w:rPr>
        <w:t>uvedení do provozu, včetně všech potřebných zkoušek potřebných pro řádné užívání předmětu plnění (např. přejímací zkouška, validace atd.),</w:t>
      </w:r>
    </w:p>
    <w:p w14:paraId="1D969F6D" w14:textId="68DDA7F8"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bezplatné zaškolení obsluhy v souladu s návodem k použití a protokol o tomto školení,</w:t>
      </w:r>
    </w:p>
    <w:p w14:paraId="366EDF42" w14:textId="4C794CD1"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dodávka návodů k obsluze v českém jazyce </w:t>
      </w:r>
      <w:r w:rsidR="00631EA1">
        <w:rPr>
          <w:rFonts w:ascii="Times New Roman" w:hAnsi="Times New Roman" w:cs="Times New Roman"/>
        </w:rPr>
        <w:t>v</w:t>
      </w:r>
      <w:r w:rsidRPr="0071611B">
        <w:rPr>
          <w:rFonts w:ascii="Times New Roman" w:hAnsi="Times New Roman" w:cs="Times New Roman"/>
        </w:rPr>
        <w:t xml:space="preserve"> datové podobě</w:t>
      </w:r>
      <w:r w:rsidR="00631EA1">
        <w:rPr>
          <w:rFonts w:ascii="Times New Roman" w:hAnsi="Times New Roman" w:cs="Times New Roman"/>
        </w:rPr>
        <w:t xml:space="preserve"> (případně tištěné)</w:t>
      </w:r>
      <w:r w:rsidRPr="0071611B">
        <w:rPr>
          <w:rFonts w:ascii="Times New Roman" w:hAnsi="Times New Roman" w:cs="Times New Roman"/>
        </w:rPr>
        <w:t>,</w:t>
      </w:r>
    </w:p>
    <w:p w14:paraId="5677A577" w14:textId="5DF017C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dodávka příslušných atestů a certifikátů</w:t>
      </w:r>
      <w:r w:rsidR="00F125E1">
        <w:rPr>
          <w:rFonts w:ascii="Times New Roman" w:hAnsi="Times New Roman" w:cs="Times New Roman"/>
        </w:rPr>
        <w:t xml:space="preserve"> </w:t>
      </w:r>
      <w:r w:rsidR="00F125E1" w:rsidRPr="009C30F9">
        <w:rPr>
          <w:rFonts w:ascii="Times New Roman" w:hAnsi="Times New Roman" w:cs="Times New Roman"/>
        </w:rPr>
        <w:t>(ve 2 vyhotoveních),</w:t>
      </w:r>
    </w:p>
    <w:p w14:paraId="4713B2CD" w14:textId="720EEB02" w:rsid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dodací list / předávací protokol</w:t>
      </w:r>
      <w:r w:rsidR="00F125E1">
        <w:rPr>
          <w:rFonts w:ascii="Times New Roman" w:hAnsi="Times New Roman" w:cs="Times New Roman"/>
        </w:rPr>
        <w:t xml:space="preserve"> </w:t>
      </w:r>
      <w:r w:rsidR="00F125E1" w:rsidRPr="009C30F9">
        <w:rPr>
          <w:rFonts w:ascii="Times New Roman" w:hAnsi="Times New Roman" w:cs="Times New Roman"/>
        </w:rPr>
        <w:t>(ve 2 vyhotoveních),</w:t>
      </w:r>
    </w:p>
    <w:p w14:paraId="315026D3" w14:textId="67B5B505" w:rsidR="00F125E1" w:rsidRPr="00F125E1" w:rsidRDefault="00F125E1" w:rsidP="00F125E1">
      <w:pPr>
        <w:pStyle w:val="Odstavecseseznamem"/>
        <w:numPr>
          <w:ilvl w:val="0"/>
          <w:numId w:val="4"/>
        </w:numPr>
        <w:spacing w:before="240"/>
        <w:ind w:left="1134" w:hanging="283"/>
        <w:jc w:val="both"/>
        <w:rPr>
          <w:rFonts w:ascii="Times New Roman" w:hAnsi="Times New Roman" w:cs="Times New Roman"/>
        </w:rPr>
      </w:pPr>
      <w:r w:rsidRPr="009C30F9">
        <w:rPr>
          <w:rFonts w:ascii="Times New Roman" w:hAnsi="Times New Roman" w:cs="Times New Roman"/>
        </w:rPr>
        <w:t xml:space="preserve">prohlášení o shodě, s možným uvedením rizikové třídy zdravotnického prostředku (ve 2 vyhotoveních), </w:t>
      </w:r>
    </w:p>
    <w:p w14:paraId="469898D3" w14:textId="2DB19FE1" w:rsidR="009836B0" w:rsidRDefault="0071611B" w:rsidP="009836B0">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certifikát osoby provádějící školení a servisního technika</w:t>
      </w:r>
      <w:r w:rsidR="00F125E1" w:rsidRPr="009C30F9">
        <w:rPr>
          <w:rFonts w:ascii="Times New Roman" w:hAnsi="Times New Roman" w:cs="Times New Roman"/>
        </w:rPr>
        <w:t xml:space="preserve"> (ve 2 vyhotoveních) </w:t>
      </w:r>
      <w:r w:rsidRPr="0071611B">
        <w:rPr>
          <w:rFonts w:ascii="Times New Roman" w:hAnsi="Times New Roman" w:cs="Times New Roman"/>
        </w:rPr>
        <w:t xml:space="preserve"> pokud je vyžadovaný výrobcem</w:t>
      </w:r>
      <w:r>
        <w:rPr>
          <w:rFonts w:ascii="Times New Roman" w:hAnsi="Times New Roman" w:cs="Times New Roman"/>
        </w:rPr>
        <w:t xml:space="preserve"> </w:t>
      </w:r>
      <w:r w:rsidRPr="0071611B">
        <w:rPr>
          <w:rFonts w:ascii="Times New Roman" w:hAnsi="Times New Roman" w:cs="Times New Roman"/>
        </w:rPr>
        <w:t>či platnou legislativou</w:t>
      </w:r>
      <w:r>
        <w:rPr>
          <w:rFonts w:ascii="Times New Roman" w:hAnsi="Times New Roman" w:cs="Times New Roman"/>
        </w:rPr>
        <w:t>.</w:t>
      </w:r>
    </w:p>
    <w:p w14:paraId="125820DD" w14:textId="77777777" w:rsidR="009836B0" w:rsidRDefault="0071611B" w:rsidP="009836B0">
      <w:pPr>
        <w:pStyle w:val="Odstavecseseznamem"/>
        <w:numPr>
          <w:ilvl w:val="0"/>
          <w:numId w:val="4"/>
        </w:numPr>
        <w:spacing w:before="240"/>
        <w:ind w:left="1134" w:hanging="283"/>
        <w:jc w:val="both"/>
        <w:rPr>
          <w:rFonts w:ascii="Times New Roman" w:hAnsi="Times New Roman" w:cs="Times New Roman"/>
        </w:rPr>
      </w:pPr>
      <w:r w:rsidRPr="009836B0">
        <w:rPr>
          <w:rFonts w:ascii="Times New Roman" w:hAnsi="Times New Roman" w:cs="Times New Roman"/>
        </w:rPr>
        <w:t>konfigurace a nastavení zařízení včetně připojení do IT infrastruktury objednatele (migrace stávajících dat, integrace s NIS, atp.).</w:t>
      </w:r>
    </w:p>
    <w:bookmarkEnd w:id="2"/>
    <w:p w14:paraId="1DBA621E" w14:textId="77777777" w:rsidR="009836B0" w:rsidRDefault="009836B0" w:rsidP="009836B0">
      <w:pPr>
        <w:pStyle w:val="Odstavecseseznamem"/>
        <w:spacing w:before="240"/>
        <w:ind w:left="1134"/>
        <w:jc w:val="both"/>
        <w:rPr>
          <w:rFonts w:ascii="Times New Roman" w:hAnsi="Times New Roman" w:cs="Times New Roman"/>
        </w:rPr>
      </w:pPr>
    </w:p>
    <w:p w14:paraId="12D5E801" w14:textId="5299A2EE" w:rsidR="005615B4" w:rsidRPr="009836B0" w:rsidRDefault="0071611B" w:rsidP="009836B0">
      <w:pPr>
        <w:pStyle w:val="Odstavecseseznamem"/>
        <w:numPr>
          <w:ilvl w:val="1"/>
          <w:numId w:val="1"/>
        </w:numPr>
        <w:spacing w:before="240"/>
        <w:jc w:val="both"/>
        <w:rPr>
          <w:rFonts w:ascii="Times New Roman" w:hAnsi="Times New Roman" w:cs="Times New Roman"/>
        </w:rPr>
      </w:pPr>
      <w:r w:rsidRPr="009836B0">
        <w:rPr>
          <w:rFonts w:ascii="Times New Roman" w:hAnsi="Times New Roman" w:cs="Times New Roman"/>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631EA1">
        <w:rPr>
          <w:rFonts w:ascii="Times New Roman" w:hAnsi="Times New Roman" w:cs="Times New Roman"/>
        </w:rPr>
        <w:t xml:space="preserve">dodávky </w:t>
      </w:r>
      <w:r w:rsidRPr="009836B0">
        <w:rPr>
          <w:rFonts w:ascii="Times New Roman" w:hAnsi="Times New Roman" w:cs="Times New Roman"/>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4F250000" w14:textId="77777777" w:rsidR="00F34A23" w:rsidRDefault="00F34A23" w:rsidP="00F34A23">
      <w:pPr>
        <w:pStyle w:val="Odstavecseseznamem"/>
        <w:spacing w:before="240"/>
        <w:ind w:left="792"/>
        <w:jc w:val="both"/>
        <w:rPr>
          <w:rFonts w:ascii="Times New Roman" w:hAnsi="Times New Roman" w:cs="Times New Roman"/>
        </w:rPr>
      </w:pPr>
      <w:r w:rsidRPr="00F34A23">
        <w:rPr>
          <w:rFonts w:ascii="Times New Roman" w:hAnsi="Times New Roman" w:cs="Times New Roman"/>
        </w:rPr>
        <w:t xml:space="preserve">Objednatel se zavazuje poskytnout dodavateli veškerou součinnost potřebnou k řádnému provedení předmětu plnění, a to zejména v rozsahu: </w:t>
      </w:r>
    </w:p>
    <w:p w14:paraId="77369F33" w14:textId="77777777" w:rsidR="00F34A23" w:rsidRDefault="00F34A23" w:rsidP="004570FE">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poskytnutí úplných a pravdivých informací o stávajícím stavu, </w:t>
      </w:r>
    </w:p>
    <w:p w14:paraId="2135EE33" w14:textId="77777777" w:rsidR="00F34A23" w:rsidRDefault="00F34A23" w:rsidP="004570FE">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poskytnutí veškerých potřebných podkladů, včetně technické dokumentace, dat a údajů, </w:t>
      </w:r>
    </w:p>
    <w:p w14:paraId="2004E1FA" w14:textId="77777777" w:rsidR="00F34A23" w:rsidRDefault="00F34A23" w:rsidP="004570FE">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umožnění přístupu k relevantním systémům a zařízením, </w:t>
      </w:r>
    </w:p>
    <w:p w14:paraId="167959C2" w14:textId="77777777" w:rsidR="00F34A23" w:rsidRDefault="00F34A23" w:rsidP="004570FE">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zajištění spolupráce svých zaměstnanců, </w:t>
      </w:r>
    </w:p>
    <w:p w14:paraId="2C9B4964" w14:textId="358DA82B" w:rsidR="00F34A23" w:rsidRDefault="00F34A23" w:rsidP="004570FE">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odstranění překážek bránících řádnému plnění ze strany dodavatele.</w:t>
      </w:r>
    </w:p>
    <w:p w14:paraId="38787819" w14:textId="77777777" w:rsidR="0071611B" w:rsidRPr="0071611B" w:rsidRDefault="0071611B" w:rsidP="001A6AAC">
      <w:pPr>
        <w:pStyle w:val="Odstavecseseznamem"/>
        <w:spacing w:before="240"/>
        <w:ind w:left="792"/>
        <w:jc w:val="both"/>
        <w:rPr>
          <w:rFonts w:ascii="Times New Roman" w:hAnsi="Times New Roman" w:cs="Times New Roman"/>
        </w:rPr>
      </w:pPr>
    </w:p>
    <w:p w14:paraId="5534B650" w14:textId="01F5D35B" w:rsidR="0071611B" w:rsidRPr="001708BA"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4E01033" w14:textId="07A7B60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 plnění činí:</w:t>
      </w:r>
    </w:p>
    <w:p w14:paraId="22DA1559" w14:textId="77777777" w:rsidR="0071611B" w:rsidRPr="0071611B" w:rsidRDefault="0071611B" w:rsidP="005615B4">
      <w:pPr>
        <w:spacing w:after="0"/>
        <w:ind w:firstLine="708"/>
        <w:jc w:val="both"/>
        <w:rPr>
          <w:rFonts w:ascii="Times New Roman" w:hAnsi="Times New Roman" w:cs="Times New Roman"/>
        </w:rPr>
      </w:pPr>
      <w:r w:rsidRPr="0071611B">
        <w:rPr>
          <w:rFonts w:ascii="Times New Roman" w:hAnsi="Times New Roman" w:cs="Times New Roman"/>
        </w:rPr>
        <w:lastRenderedPageBreak/>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2371C03D" w14:textId="77777777" w:rsidR="0071611B" w:rsidRPr="0071611B" w:rsidRDefault="0071611B" w:rsidP="005615B4">
      <w:pPr>
        <w:spacing w:after="0"/>
        <w:ind w:left="708"/>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6E3FFB61" w14:textId="08D95D42" w:rsidR="0071611B" w:rsidRPr="0071611B" w:rsidRDefault="0071611B" w:rsidP="005615B4">
      <w:pPr>
        <w:spacing w:after="0"/>
        <w:ind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4349C922" w14:textId="77777777" w:rsidR="0071611B" w:rsidRDefault="0071611B" w:rsidP="001A6AAC">
      <w:pPr>
        <w:spacing w:before="240"/>
        <w:ind w:firstLine="708"/>
        <w:jc w:val="both"/>
        <w:rPr>
          <w:rFonts w:ascii="Times New Roman" w:hAnsi="Times New Roman" w:cs="Times New Roman"/>
        </w:rPr>
      </w:pPr>
      <w:r w:rsidRPr="0071611B">
        <w:rPr>
          <w:rFonts w:ascii="Times New Roman" w:hAnsi="Times New Roman" w:cs="Times New Roman"/>
        </w:rPr>
        <w:t>Celková cena předmětu plnění 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14:paraId="4F9E9DB4" w14:textId="77777777" w:rsidTr="00360CDF">
        <w:tc>
          <w:tcPr>
            <w:tcW w:w="375" w:type="dxa"/>
          </w:tcPr>
          <w:p w14:paraId="71BB0C4F" w14:textId="5EE09B36"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A</w:t>
            </w:r>
          </w:p>
        </w:tc>
        <w:tc>
          <w:tcPr>
            <w:tcW w:w="3763" w:type="dxa"/>
          </w:tcPr>
          <w:p w14:paraId="2FD4262A" w14:textId="415350A1"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78C8EFA6" w14:textId="6FEEF91C"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3895974" w14:textId="77777777" w:rsidTr="00360CDF">
        <w:tc>
          <w:tcPr>
            <w:tcW w:w="375" w:type="dxa"/>
          </w:tcPr>
          <w:p w14:paraId="1314D989" w14:textId="6E34956C"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B</w:t>
            </w:r>
          </w:p>
        </w:tc>
        <w:tc>
          <w:tcPr>
            <w:tcW w:w="3763" w:type="dxa"/>
          </w:tcPr>
          <w:p w14:paraId="21EA19C3" w14:textId="01C6A719"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2CEB2223" w14:textId="3DD78F53"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CE82203" w14:textId="77777777" w:rsidTr="00360CDF">
        <w:tc>
          <w:tcPr>
            <w:tcW w:w="375" w:type="dxa"/>
          </w:tcPr>
          <w:p w14:paraId="57398E95" w14:textId="1FEEABBE"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C</w:t>
            </w:r>
          </w:p>
        </w:tc>
        <w:tc>
          <w:tcPr>
            <w:tcW w:w="3763" w:type="dxa"/>
          </w:tcPr>
          <w:p w14:paraId="561FC2FE" w14:textId="53A618B0"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1B887473" w14:textId="11A22937"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3F0E976" w14:textId="77777777" w:rsidTr="00360CDF">
        <w:tc>
          <w:tcPr>
            <w:tcW w:w="375" w:type="dxa"/>
          </w:tcPr>
          <w:p w14:paraId="506DBCCF" w14:textId="216274AF"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D</w:t>
            </w:r>
          </w:p>
        </w:tc>
        <w:tc>
          <w:tcPr>
            <w:tcW w:w="3763" w:type="dxa"/>
          </w:tcPr>
          <w:p w14:paraId="1CF1245F" w14:textId="60BC642F"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6A0D1BD0" w14:textId="1513D017"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352BCD3B" w14:textId="77777777" w:rsidR="00360CDF" w:rsidRDefault="00360CDF" w:rsidP="001A6AAC">
      <w:pPr>
        <w:pStyle w:val="Odstavecseseznamem"/>
        <w:spacing w:before="240"/>
        <w:ind w:left="792"/>
        <w:jc w:val="both"/>
        <w:rPr>
          <w:rFonts w:ascii="Times New Roman" w:hAnsi="Times New Roman" w:cs="Times New Roman"/>
        </w:rPr>
      </w:pPr>
    </w:p>
    <w:p w14:paraId="337ADC0F" w14:textId="4596619E"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Objednatel neposkytuje zálohy. </w:t>
      </w:r>
    </w:p>
    <w:p w14:paraId="650CB07A" w14:textId="034124DA"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Cena položek A </w:t>
      </w:r>
      <w:proofErr w:type="spellStart"/>
      <w:r w:rsidRPr="0071611B">
        <w:rPr>
          <w:rFonts w:ascii="Times New Roman" w:hAnsi="Times New Roman" w:cs="Times New Roman"/>
        </w:rPr>
        <w:t>a</w:t>
      </w:r>
      <w:proofErr w:type="spellEnd"/>
      <w:r w:rsidRPr="0071611B">
        <w:rPr>
          <w:rFonts w:ascii="Times New Roman" w:hAnsi="Times New Roman" w:cs="Times New Roman"/>
        </w:rPr>
        <w:t xml:space="preserve"> B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1D50F2A8" w14:textId="579B3E56"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Cena za položku C (a D)  bude splatná na základě faktur, které dodavatel vystaví za každý kalendářní měsíc, v němž byly poskytnuty servisní služby. Tuto fakturu dodavatel vystaví do 10. dne následujícího měsíce. </w:t>
      </w:r>
    </w:p>
    <w:p w14:paraId="367D45B2" w14:textId="209D26D0"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1A5B9BB" w14:textId="7B2EE26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7DD33729" w14:textId="097509BF"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0CE5A5F8" w14:textId="1BB17A1E"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lastRenderedPageBreak/>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611CD430" w14:textId="298A5A3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Způsob sjednání změny ceny </w:t>
      </w:r>
    </w:p>
    <w:p w14:paraId="2A051F03" w14:textId="42751C3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781ACA3" w14:textId="7C1C3A31" w:rsidR="001A6AAC" w:rsidRPr="001A6AAC"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1A6AAC"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3C54CA91" w14:textId="6C2CB3E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1BEC0427" w14:textId="5578BF3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79B35C8E"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Dodavatel je oprávněn vyúčtovat cenu </w:t>
      </w:r>
      <w:r w:rsidR="00631EA1">
        <w:rPr>
          <w:rFonts w:ascii="Times New Roman" w:hAnsi="Times New Roman" w:cs="Times New Roman"/>
        </w:rPr>
        <w:t xml:space="preserve">dodávky </w:t>
      </w:r>
      <w:r w:rsidRPr="0071611B">
        <w:rPr>
          <w:rFonts w:ascii="Times New Roman" w:hAnsi="Times New Roman" w:cs="Times New Roman"/>
        </w:rPr>
        <w:t xml:space="preserve">na základě daňového dokladu (faktury). Daňový doklad musí být vystaven v souladu s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28 a splňovat další náležitosti vedle náležitostí dle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29 zákona č. 235/2004 Sb. o dani z přidané hodnoty (dále jen zákon o DPH), zejména pak musí obsahovat: </w:t>
      </w:r>
    </w:p>
    <w:p w14:paraId="716D3114" w14:textId="1811F11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identifikaci dodavatele a objednatele,</w:t>
      </w:r>
    </w:p>
    <w:p w14:paraId="0500C9A0" w14:textId="357D8E07"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den splatnosti,</w:t>
      </w:r>
    </w:p>
    <w:p w14:paraId="0A43AE42" w14:textId="21D0979F"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6180D71E" w14:textId="1BFF294C"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odvolávka na tuto smlouvu,</w:t>
      </w:r>
    </w:p>
    <w:p w14:paraId="26C97C22" w14:textId="79B42B36"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263E4D81" w14:textId="77777777" w:rsid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soupis příloh,</w:t>
      </w:r>
    </w:p>
    <w:p w14:paraId="2CB23D01" w14:textId="09376BE9"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název a číslo projektu: </w:t>
      </w:r>
      <w:r w:rsidRPr="0071611B">
        <w:rPr>
          <w:rFonts w:ascii="Times New Roman" w:hAnsi="Times New Roman" w:cs="Times New Roman"/>
          <w:i/>
          <w:iCs/>
        </w:rPr>
        <w:t xml:space="preserve">Rozvoj </w:t>
      </w:r>
      <w:proofErr w:type="spellStart"/>
      <w:r w:rsidRPr="0071611B">
        <w:rPr>
          <w:rFonts w:ascii="Times New Roman" w:hAnsi="Times New Roman" w:cs="Times New Roman"/>
          <w:i/>
          <w:iCs/>
        </w:rPr>
        <w:t>eHealth</w:t>
      </w:r>
      <w:proofErr w:type="spellEnd"/>
      <w:r w:rsidRPr="0071611B">
        <w:rPr>
          <w:rFonts w:ascii="Times New Roman" w:hAnsi="Times New Roman" w:cs="Times New Roman"/>
          <w:i/>
          <w:iCs/>
        </w:rPr>
        <w:t xml:space="preserve"> v Nemocnici Náchod, </w:t>
      </w:r>
      <w:proofErr w:type="spellStart"/>
      <w:r w:rsidRPr="0071611B">
        <w:rPr>
          <w:rFonts w:ascii="Times New Roman" w:hAnsi="Times New Roman" w:cs="Times New Roman"/>
          <w:i/>
          <w:iCs/>
        </w:rPr>
        <w:t>reg</w:t>
      </w:r>
      <w:proofErr w:type="spellEnd"/>
      <w:r w:rsidRPr="0071611B">
        <w:rPr>
          <w:rFonts w:ascii="Times New Roman" w:hAnsi="Times New Roman" w:cs="Times New Roman"/>
          <w:i/>
          <w:iCs/>
        </w:rPr>
        <w:t>. č. [doplní Objednatel]</w:t>
      </w:r>
      <w:r w:rsidRPr="0071611B">
        <w:rPr>
          <w:rFonts w:ascii="Times New Roman" w:hAnsi="Times New Roman" w:cs="Times New Roman"/>
        </w:rPr>
        <w:t>.</w:t>
      </w:r>
    </w:p>
    <w:p w14:paraId="4CDB1053" w14:textId="3D7E4370"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Dodavatel je oprávněn zasílat faktury objednateli prostřednictvím elektronické pošty na adresu </w:t>
      </w:r>
      <w:hyperlink r:id="rId6"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Pr="0071611B">
        <w:rPr>
          <w:rFonts w:ascii="Times New Roman" w:hAnsi="Times New Roman" w:cs="Times New Roman"/>
        </w:rPr>
        <w:t>, a to ve formátu PDF.</w:t>
      </w:r>
    </w:p>
    <w:p w14:paraId="0B0E2C81" w14:textId="056A726C"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lastRenderedPageBreak/>
        <w:t xml:space="preserve">V případě, že daňový doklad (faktura) nebude mít odpovídající náležitosti a přílohy dle předchozího odstavce, je objednatel oprávněn zaslat ho ve lhůtě splatnosti </w:t>
      </w:r>
      <w:r w:rsidR="00631EA1">
        <w:rPr>
          <w:rFonts w:ascii="Times New Roman" w:hAnsi="Times New Roman" w:cs="Times New Roman"/>
        </w:rPr>
        <w:t xml:space="preserve">této faktury </w:t>
      </w:r>
      <w:r w:rsidRPr="0071611B">
        <w:rPr>
          <w:rFonts w:ascii="Times New Roman" w:hAnsi="Times New Roman" w:cs="Times New Roman"/>
        </w:rPr>
        <w:t xml:space="preserve">zpět dodavateli k doplnění, aniž se tak dostane do prodlení se zaplacením. V takovém případě počíná lhůta splatnosti běžet znovu od opětovného zaslání náležitě doplněného či opraveného daňového dokladu (faktury). </w:t>
      </w:r>
    </w:p>
    <w:p w14:paraId="39CDF701" w14:textId="2943293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2D89A64C" w14:textId="550E79A4"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53D12905" w14:textId="70F2A254" w:rsidR="00BA4673"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7DE80782" w14:textId="77777777" w:rsidR="001708BA" w:rsidRPr="001708BA" w:rsidRDefault="001708BA" w:rsidP="001A6AAC">
      <w:pPr>
        <w:pStyle w:val="Odstavecseseznamem"/>
        <w:spacing w:before="240"/>
        <w:ind w:left="792"/>
        <w:jc w:val="both"/>
        <w:rPr>
          <w:rFonts w:ascii="Times New Roman" w:hAnsi="Times New Roman" w:cs="Times New Roman"/>
        </w:rPr>
      </w:pPr>
    </w:p>
    <w:p w14:paraId="26B1D902" w14:textId="77777777"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0FDEEAB6" w14:textId="77777777"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Místem plněni je sídlo objednatele. </w:t>
      </w:r>
    </w:p>
    <w:p w14:paraId="75DEF871" w14:textId="77777777" w:rsidR="00BA4673" w:rsidRPr="00EB05AB" w:rsidRDefault="00BA4673" w:rsidP="001A6AAC">
      <w:pPr>
        <w:pStyle w:val="Odstavecseseznamem"/>
        <w:numPr>
          <w:ilvl w:val="1"/>
          <w:numId w:val="1"/>
        </w:numPr>
        <w:spacing w:before="240"/>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Pr="00EB05AB">
        <w:rPr>
          <w:rFonts w:ascii="Times New Roman" w:hAnsi="Times New Roman" w:cs="Times New Roman"/>
          <w:b/>
          <w:bCs/>
        </w:rPr>
        <w:t xml:space="preserve">2 měsíců od nabytí účinnosti této smlouvy. </w:t>
      </w:r>
    </w:p>
    <w:p w14:paraId="05EE0D53" w14:textId="49BF74BB"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BD9BD0D" w14:textId="1BFAD861"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identifikace této smlouvy;</w:t>
      </w:r>
    </w:p>
    <w:p w14:paraId="7B36884A" w14:textId="4FA2EAB0"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identifikace smluvních stran;</w:t>
      </w:r>
    </w:p>
    <w:p w14:paraId="761786A6" w14:textId="2EFF1942"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7F959399" w14:textId="3242AFDF"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284C5A2E" w14:textId="6AC537C4"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w:t>
      </w:r>
      <w:r w:rsidR="000C1CE4">
        <w:rPr>
          <w:rFonts w:ascii="Times New Roman" w:hAnsi="Times New Roman" w:cs="Times New Roman"/>
        </w:rPr>
        <w:t>15</w:t>
      </w:r>
      <w:r w:rsidRPr="00BA4673">
        <w:rPr>
          <w:rFonts w:ascii="Times New Roman" w:hAnsi="Times New Roman" w:cs="Times New Roman"/>
        </w:rPr>
        <w:t xml:space="preserve"> dnů uvedené v předávacím protokolu s výhradami. </w:t>
      </w:r>
    </w:p>
    <w:p w14:paraId="72EB4890" w14:textId="0A95FA6A"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4347F1BC" w14:textId="77777777" w:rsidR="00BA4673" w:rsidRPr="00BA4673" w:rsidRDefault="00BA4673" w:rsidP="001A6AAC">
      <w:pPr>
        <w:pStyle w:val="Odstavecseseznamem"/>
        <w:spacing w:before="240"/>
        <w:ind w:left="792"/>
        <w:jc w:val="both"/>
        <w:rPr>
          <w:rFonts w:ascii="Times New Roman" w:hAnsi="Times New Roman" w:cs="Times New Roman"/>
        </w:rPr>
      </w:pPr>
    </w:p>
    <w:p w14:paraId="37493C02" w14:textId="03FE35F2"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0F8FF052" w14:textId="6B4C79FD"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V ceně předmětu plnění bude předplacená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20033A3B" w14:textId="2AF942F4"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w:t>
      </w:r>
      <w:proofErr w:type="spellStart"/>
      <w:r w:rsidRPr="00BA4673">
        <w:rPr>
          <w:rFonts w:ascii="Times New Roman" w:hAnsi="Times New Roman" w:cs="Times New Roman"/>
        </w:rPr>
        <w:t>reinstalačních</w:t>
      </w:r>
      <w:proofErr w:type="spellEnd"/>
      <w:r w:rsidRPr="00BA4673">
        <w:rPr>
          <w:rFonts w:ascii="Times New Roman" w:hAnsi="Times New Roman" w:cs="Times New Roman"/>
        </w:rPr>
        <w:t xml:space="preserve"> a aktualizačních činnostech. </w:t>
      </w:r>
    </w:p>
    <w:p w14:paraId="36DDA501" w14:textId="5D8C3A46"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05D45B3E" w14:textId="77777777" w:rsidR="00BA4673" w:rsidRPr="00BA4673" w:rsidRDefault="00BA4673" w:rsidP="001A6AAC">
      <w:pPr>
        <w:pStyle w:val="Odstavecseseznamem"/>
        <w:spacing w:before="240"/>
        <w:ind w:left="792"/>
        <w:jc w:val="both"/>
        <w:rPr>
          <w:rFonts w:ascii="Times New Roman" w:hAnsi="Times New Roman" w:cs="Times New Roman"/>
        </w:rPr>
      </w:pPr>
    </w:p>
    <w:p w14:paraId="700FDA59" w14:textId="42C2C83A"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Záruka za jakost předmětu plnění</w:t>
      </w:r>
    </w:p>
    <w:p w14:paraId="2850F503" w14:textId="1B3811AA" w:rsidR="001708BA"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Dodavatel prohlašuje a činí nesporným, že poskytuje na předmět plnění záruku v délce 24 měsíců, která počíná běžet okamžikem předání předmětu plnění bez vad a nedodělků na </w:t>
      </w:r>
      <w:r w:rsidRPr="00BA4673">
        <w:rPr>
          <w:rFonts w:ascii="Times New Roman" w:hAnsi="Times New Roman" w:cs="Times New Roman"/>
        </w:rPr>
        <w:lastRenderedPageBreak/>
        <w:t>základě předávacího protokolu ve smyslu čl. 4 této smlouvy. V této době odpovídá dodavatel za to, že předmět plnění si zachová vlastnosti sjednané touto smlouvou a nejsou-li uvedeny, pak obvyklé vlastnosti.</w:t>
      </w:r>
    </w:p>
    <w:p w14:paraId="1C9C7938" w14:textId="77777777" w:rsidR="001708BA" w:rsidRPr="00BA4673" w:rsidRDefault="001708BA" w:rsidP="001A6AAC">
      <w:pPr>
        <w:pStyle w:val="Odstavecseseznamem"/>
        <w:spacing w:before="240"/>
        <w:ind w:left="792"/>
        <w:jc w:val="both"/>
        <w:rPr>
          <w:rFonts w:ascii="Times New Roman" w:hAnsi="Times New Roman" w:cs="Times New Roman"/>
        </w:rPr>
      </w:pPr>
    </w:p>
    <w:p w14:paraId="14EAA7D4" w14:textId="40DB717C"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09353A0C" w14:textId="7542F3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1185AA19" w14:textId="7F7731F2"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70586C0E" w14:textId="77777777" w:rsidR="00BA4673" w:rsidRPr="00BA4673" w:rsidRDefault="00BA4673" w:rsidP="001A6AAC">
      <w:pPr>
        <w:pStyle w:val="Odstavecseseznamem"/>
        <w:spacing w:before="240"/>
        <w:ind w:left="792"/>
        <w:jc w:val="both"/>
        <w:rPr>
          <w:rFonts w:ascii="Times New Roman" w:hAnsi="Times New Roman" w:cs="Times New Roman"/>
        </w:rPr>
      </w:pPr>
    </w:p>
    <w:p w14:paraId="4FDB34A2" w14:textId="47C1C9EB"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277F037E" w14:textId="77777777" w:rsidR="00BA4673" w:rsidRPr="00BA4673" w:rsidRDefault="00BA4673" w:rsidP="001A6AAC">
      <w:pPr>
        <w:spacing w:before="240"/>
        <w:jc w:val="both"/>
        <w:rPr>
          <w:rFonts w:ascii="Times New Roman" w:hAnsi="Times New Roman" w:cs="Times New Roman"/>
        </w:rPr>
      </w:pPr>
      <w:r w:rsidRPr="00BA4673">
        <w:rPr>
          <w:rFonts w:ascii="Times New Roman" w:hAnsi="Times New Roman" w:cs="Times New Roman"/>
        </w:rPr>
        <w:t>Smluvní strany prohlašují a činí nesporným, že:</w:t>
      </w:r>
    </w:p>
    <w:p w14:paraId="4EB5CE0B" w14:textId="3C68C3DD"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4BAE4B8D" w14:textId="05E145C3" w:rsidR="00C35CD0"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ujednáním o smluvních pokutách ve smyslu tohoto článku smlouvy není dotčeno právo objednatele na náhradu majetkové újmy (škody) v plném rozsahu, kdy tímto smluvní strany vylučují </w:t>
      </w:r>
      <w:proofErr w:type="spellStart"/>
      <w:r w:rsidRPr="00BA4673">
        <w:rPr>
          <w:rFonts w:ascii="Times New Roman" w:hAnsi="Times New Roman" w:cs="Times New Roman"/>
        </w:rPr>
        <w:t>ust</w:t>
      </w:r>
      <w:proofErr w:type="spellEnd"/>
      <w:r w:rsidRPr="00BA4673">
        <w:rPr>
          <w:rFonts w:ascii="Times New Roman" w:hAnsi="Times New Roman" w:cs="Times New Roman"/>
        </w:rPr>
        <w:t>. § 2050 zákona č. 89/2012 Sb., občanský zákoník, v platném znění.</w:t>
      </w:r>
    </w:p>
    <w:p w14:paraId="1D1D27BA" w14:textId="77777777" w:rsidR="001708BA" w:rsidRPr="001708BA" w:rsidRDefault="001708BA" w:rsidP="001A6AAC">
      <w:pPr>
        <w:pStyle w:val="Odstavecseseznamem"/>
        <w:spacing w:before="240"/>
        <w:ind w:left="792"/>
        <w:jc w:val="both"/>
        <w:rPr>
          <w:rFonts w:ascii="Times New Roman" w:hAnsi="Times New Roman" w:cs="Times New Roman"/>
        </w:rPr>
      </w:pPr>
    </w:p>
    <w:p w14:paraId="4B6AD70D" w14:textId="3CE4E738"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Ostatní ujednání</w:t>
      </w:r>
    </w:p>
    <w:p w14:paraId="5CC8EB9B"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Smluvní strany prohlašují a činí nesporným, že:</w:t>
      </w:r>
    </w:p>
    <w:p w14:paraId="23038A01" w14:textId="7777777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68CB2C5C" w14:textId="4A8E7A56" w:rsidR="00C35CD0" w:rsidRPr="00EB05AB" w:rsidRDefault="00C35CD0" w:rsidP="00EB05AB">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571B92F" w14:textId="7BCD011F"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dodavatel je povinen archivovat originál této smlouvy včetně jejích případných dodatků a jejích příloh, dále veškeré originály účetních dokladů a dalších dokumentů souvisejících s </w:t>
      </w:r>
      <w:r w:rsidRPr="00C35CD0">
        <w:rPr>
          <w:rFonts w:ascii="Times New Roman" w:hAnsi="Times New Roman" w:cs="Times New Roman"/>
        </w:rPr>
        <w:lastRenderedPageBreak/>
        <w:t>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06DA3245" w14:textId="61D70D05"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se zavazuje, že:</w:t>
      </w:r>
    </w:p>
    <w:p w14:paraId="7BC72DA5" w14:textId="3368C7D3"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předá objednateli veškeré údaje o kvalitě, které jsou požadovány (i) právními předpisy, nebo (</w:t>
      </w:r>
      <w:proofErr w:type="spellStart"/>
      <w:r w:rsidRPr="00C35CD0">
        <w:rPr>
          <w:rFonts w:ascii="Times New Roman" w:hAnsi="Times New Roman" w:cs="Times New Roman"/>
        </w:rPr>
        <w:t>ii</w:t>
      </w:r>
      <w:proofErr w:type="spellEnd"/>
      <w:r w:rsidRPr="00C35CD0">
        <w:rPr>
          <w:rFonts w:ascii="Times New Roman" w:hAnsi="Times New Roman" w:cs="Times New Roman"/>
        </w:rPr>
        <w:t>) jsou požadovány ustanoveními smlouvy, nebo (</w:t>
      </w:r>
      <w:proofErr w:type="spellStart"/>
      <w:r w:rsidRPr="00C35CD0">
        <w:rPr>
          <w:rFonts w:ascii="Times New Roman" w:hAnsi="Times New Roman" w:cs="Times New Roman"/>
        </w:rPr>
        <w:t>iii</w:t>
      </w:r>
      <w:proofErr w:type="spellEnd"/>
      <w:r w:rsidRPr="00C35CD0">
        <w:rPr>
          <w:rFonts w:ascii="Times New Roman" w:hAnsi="Times New Roman" w:cs="Times New Roman"/>
        </w:rPr>
        <w:t>) jsou požadovány objednatelem po uzavření smlouvy prostřednictvím kontaktní osoby uvedené ve smlouvě nebo pracovníků objednatele s jejichž činností vykonávanou u objednatele souvisí zajišťování, údržba nebo kontrola kvality plnění ze smlouvy;</w:t>
      </w:r>
    </w:p>
    <w:p w14:paraId="232F1611" w14:textId="425B2C12"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 xml:space="preserve">v případě neschopnosti dodržet své povinnosti vyplývající ze smlouvy, zejména plnit předmět smlouvy v kvalitě stanovené smlouvou a v souladu s technickou specifikací, bude o této skutečnosti neprodleně prokazatelně informovat objednatele. Práva vyplývající z odpovědnosti za porušení smlouvy tímto nejsou dotčena; </w:t>
      </w:r>
    </w:p>
    <w:p w14:paraId="606E5F38" w14:textId="7B220857"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 xml:space="preserve">oznámí objednateli veškeré odchylky od kvality a technické specifikace, které se vztahují k plnění předmětu smlouvy a které zjistí v průběhu plnění smlouvy. V takovém případě objednatel může uplatnit práva z vadného plnění ihned poté, co se o vadném plnění dozvěděl; </w:t>
      </w:r>
    </w:p>
    <w:p w14:paraId="0547C768" w14:textId="5DD23737"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v dostatečném předstihu před plánovanými změnami výrobních metod, postupů či použitých materiálů, které mají potencionální vliv na kvalitu plnění předmětu smlouvy, bude objednatele o této skutečnosti informovat a umožní objednateli ověření, zda</w:t>
      </w:r>
      <w:r w:rsidR="003C347B">
        <w:rPr>
          <w:rFonts w:ascii="Times New Roman" w:hAnsi="Times New Roman" w:cs="Times New Roman"/>
        </w:rPr>
        <w:t xml:space="preserve"> </w:t>
      </w:r>
      <w:r w:rsidRPr="00C35CD0">
        <w:rPr>
          <w:rFonts w:ascii="Times New Roman" w:hAnsi="Times New Roman" w:cs="Times New Roman"/>
        </w:rPr>
        <w:t>deklarované změny nemohou ovlivnit výslednou kvalitu plnění smlouvy.</w:t>
      </w:r>
    </w:p>
    <w:p w14:paraId="2DB98F03" w14:textId="79B13031"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veškerá data, která obsahuje informační systém, jsou vlastnictvím objednatele, který je zároveň správcem osobních údajů dle GDPR. V případě ukončení smlouvy provede dodavatel na svůj náklad před deinstalací systému export dat včetně popisu datových struktur tak, aby bylo možné data naimportovat do jiného informačního systému. Data předá dodavatel objednateli na dohodnutém úložišti. </w:t>
      </w:r>
      <w:r w:rsidR="00631EA1">
        <w:rPr>
          <w:rFonts w:ascii="Times New Roman" w:hAnsi="Times New Roman" w:cs="Times New Roman"/>
        </w:rPr>
        <w:t xml:space="preserve">Náklady na vícepráce související s přenosem dat nejsou součástí tohoto plnění.  </w:t>
      </w:r>
    </w:p>
    <w:p w14:paraId="42B042B4" w14:textId="4C7BF11D"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79AB4B2A" w14:textId="77777777" w:rsidR="003C347B" w:rsidRPr="00C35CD0" w:rsidRDefault="003C347B" w:rsidP="001A6AAC">
      <w:pPr>
        <w:pStyle w:val="Odstavecseseznamem"/>
        <w:spacing w:before="240"/>
        <w:ind w:left="792"/>
        <w:jc w:val="both"/>
        <w:rPr>
          <w:rFonts w:ascii="Times New Roman" w:hAnsi="Times New Roman" w:cs="Times New Roman"/>
        </w:rPr>
      </w:pPr>
    </w:p>
    <w:p w14:paraId="7EFBBA58" w14:textId="38A923AB"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1A28C2B3"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28C202E7" w14:textId="4C411EA9"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bude zahájeno insolvenční řízení ve věci dodavatele jako dlužníka;</w:t>
      </w:r>
    </w:p>
    <w:p w14:paraId="35F62266" w14:textId="3EA85016"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E926BA9" w14:textId="6F5EEF2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12390C9C" w14:textId="7EB01C32"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31A58AD3" w14:textId="47E3E7F8"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w:t>
      </w:r>
      <w:r w:rsidRPr="00C35CD0">
        <w:rPr>
          <w:rFonts w:ascii="Times New Roman" w:hAnsi="Times New Roman" w:cs="Times New Roman"/>
        </w:rPr>
        <w:lastRenderedPageBreak/>
        <w:t>zadavatele od smlouvy, má dodavatel nárok na vyplacení odměny ve výši odpovídající rozsahu dodaných částí předmětu plněné, ke dni odstoupení.</w:t>
      </w:r>
    </w:p>
    <w:p w14:paraId="784E55B4" w14:textId="77777777" w:rsidR="003C347B" w:rsidRDefault="003C347B" w:rsidP="001A6AAC">
      <w:pPr>
        <w:pStyle w:val="Odstavecseseznamem"/>
        <w:spacing w:before="240"/>
        <w:ind w:left="792"/>
        <w:jc w:val="both"/>
        <w:rPr>
          <w:rFonts w:ascii="Times New Roman" w:hAnsi="Times New Roman" w:cs="Times New Roman"/>
        </w:rPr>
      </w:pPr>
    </w:p>
    <w:p w14:paraId="07FC8C8F" w14:textId="77777777" w:rsidR="00EB05AB" w:rsidRDefault="00EB05AB" w:rsidP="001A6AAC">
      <w:pPr>
        <w:pStyle w:val="Odstavecseseznamem"/>
        <w:spacing w:before="240"/>
        <w:ind w:left="792"/>
        <w:jc w:val="both"/>
        <w:rPr>
          <w:rFonts w:ascii="Times New Roman" w:hAnsi="Times New Roman" w:cs="Times New Roman"/>
        </w:rPr>
      </w:pPr>
    </w:p>
    <w:p w14:paraId="35ACFDA6" w14:textId="77777777" w:rsidR="00EB05AB" w:rsidRPr="00C35CD0" w:rsidRDefault="00EB05AB" w:rsidP="001A6AAC">
      <w:pPr>
        <w:pStyle w:val="Odstavecseseznamem"/>
        <w:spacing w:before="240"/>
        <w:ind w:left="792"/>
        <w:jc w:val="both"/>
        <w:rPr>
          <w:rFonts w:ascii="Times New Roman" w:hAnsi="Times New Roman" w:cs="Times New Roman"/>
        </w:rPr>
      </w:pPr>
    </w:p>
    <w:p w14:paraId="36CB8570" w14:textId="2EE8D554"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38CAE9C9" w14:textId="68CE611A"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w:t>
      </w:r>
      <w:proofErr w:type="spellStart"/>
      <w:r w:rsidRPr="00C35CD0">
        <w:rPr>
          <w:rFonts w:ascii="Times New Roman" w:hAnsi="Times New Roman" w:cs="Times New Roman"/>
        </w:rPr>
        <w:t>Protection</w:t>
      </w:r>
      <w:proofErr w:type="spellEnd"/>
      <w:r w:rsidRPr="00C35CD0">
        <w:rPr>
          <w:rFonts w:ascii="Times New Roman" w:hAnsi="Times New Roman" w:cs="Times New Roman"/>
        </w:rPr>
        <w:t xml:space="preserve"> </w:t>
      </w:r>
      <w:proofErr w:type="spellStart"/>
      <w:r w:rsidRPr="00C35CD0">
        <w:rPr>
          <w:rFonts w:ascii="Times New Roman" w:hAnsi="Times New Roman" w:cs="Times New Roman"/>
        </w:rPr>
        <w:t>Regulation</w:t>
      </w:r>
      <w:proofErr w:type="spellEnd"/>
      <w:r w:rsidRPr="00C35CD0">
        <w:rPr>
          <w:rFonts w:ascii="Times New Roman" w:hAnsi="Times New Roman" w:cs="Times New Roman"/>
        </w:rPr>
        <w:t xml:space="preserve">“, ve zkratce „GDPR“), účinného od 25.5.2018. </w:t>
      </w:r>
    </w:p>
    <w:p w14:paraId="5B77A487" w14:textId="5834833D"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52E1987E"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pokuty </w:t>
      </w:r>
      <w:r w:rsidR="00631EA1">
        <w:rPr>
          <w:rFonts w:ascii="Times New Roman" w:hAnsi="Times New Roman" w:cs="Times New Roman"/>
        </w:rPr>
        <w:t xml:space="preserve">20% z ceny </w:t>
      </w:r>
      <w:r w:rsidR="00AE4ADE">
        <w:rPr>
          <w:rFonts w:ascii="Times New Roman" w:hAnsi="Times New Roman" w:cs="Times New Roman"/>
        </w:rPr>
        <w:t>předmětu plnění</w:t>
      </w:r>
      <w:r w:rsidRPr="00C35CD0">
        <w:rPr>
          <w:rFonts w:ascii="Times New Roman" w:hAnsi="Times New Roman" w:cs="Times New Roman"/>
        </w:rPr>
        <w:t xml:space="preserve"> za každé jednotlivé prokázané porušení ustanovení uvedeného zákona. Právo ONN na náhradu škody zvlášť a v plné výši tím není dotčeno.</w:t>
      </w:r>
    </w:p>
    <w:p w14:paraId="66B2DC0F" w14:textId="77777777" w:rsidR="001708BA" w:rsidRPr="00C35CD0" w:rsidRDefault="001708BA" w:rsidP="001A6AAC">
      <w:pPr>
        <w:pStyle w:val="Odstavecseseznamem"/>
        <w:spacing w:before="240"/>
        <w:ind w:left="792"/>
        <w:jc w:val="both"/>
        <w:rPr>
          <w:rFonts w:ascii="Times New Roman" w:hAnsi="Times New Roman" w:cs="Times New Roman"/>
        </w:rPr>
      </w:pPr>
    </w:p>
    <w:p w14:paraId="24B312F2" w14:textId="552448FB"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68470079" w14:textId="7C082863" w:rsidR="00C35CD0" w:rsidRPr="00EB05AB" w:rsidRDefault="00C35CD0" w:rsidP="00EB05AB">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cs="Times New Roman"/>
        </w:rPr>
        <w:t>ZoKB</w:t>
      </w:r>
      <w:proofErr w:type="spellEnd"/>
      <w:r w:rsidRPr="00C35CD0">
        <w:rPr>
          <w:rFonts w:ascii="Times New Roman" w:hAnsi="Times New Roman" w:cs="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cs="Times New Roman"/>
        </w:rPr>
        <w:t>VoKB</w:t>
      </w:r>
      <w:proofErr w:type="spellEnd"/>
      <w:r w:rsidRPr="00C35CD0">
        <w:rPr>
          <w:rFonts w:ascii="Times New Roman" w:hAnsi="Times New Roman" w:cs="Times New Roman"/>
        </w:rPr>
        <w:t>).</w:t>
      </w:r>
      <w:r w:rsidR="00EB05AB">
        <w:rPr>
          <w:rFonts w:ascii="Times New Roman" w:hAnsi="Times New Roman" w:cs="Times New Roman"/>
        </w:rPr>
        <w:t xml:space="preserve"> </w:t>
      </w:r>
      <w:r w:rsidRPr="00EB05AB">
        <w:rPr>
          <w:rFonts w:ascii="Times New Roman" w:hAnsi="Times New Roman" w:cs="Times New Roman"/>
        </w:rPr>
        <w:t xml:space="preserve">Dodávané systémy, služby a zboží musí respektovat bezpečnostní opatření a relevantní požadavky na kybernetickou bezpečnost. </w:t>
      </w:r>
      <w:r w:rsidR="00EB05AB">
        <w:rPr>
          <w:rFonts w:ascii="Times New Roman" w:hAnsi="Times New Roman" w:cs="Times New Roman"/>
        </w:rPr>
        <w:t xml:space="preserve">  </w:t>
      </w:r>
      <w:r w:rsidRPr="00EB05AB">
        <w:rPr>
          <w:rFonts w:ascii="Times New Roman" w:hAnsi="Times New Roman" w:cs="Times New Roman"/>
        </w:rPr>
        <w:t>Dodavatel garantuje implementaci veškerých bezpečnostních opatření, která výše uvedená legislativa vyžaduje v rámci jeho celé nabídky a následné dodávky.</w:t>
      </w:r>
    </w:p>
    <w:p w14:paraId="06EA229D" w14:textId="612B9F3E"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5F3E8FCA" w14:textId="41A48CEA"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0B04CF9F" w14:textId="48E63795"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Nedohodnou-li se Smluvní strany výslovně písemnou formou jinak, považují se za důvěrné informace implicitně všechny informace, které jsou a nebo by mohly být součástí </w:t>
      </w:r>
      <w:r w:rsidRPr="00C35CD0">
        <w:rPr>
          <w:rFonts w:ascii="Times New Roman" w:hAnsi="Times New Roman" w:cs="Times New Roman"/>
        </w:rPr>
        <w:lastRenderedPageBreak/>
        <w:t>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6CD76B27" w14:textId="77777777" w:rsidR="00F34A23" w:rsidRPr="00C35CD0" w:rsidRDefault="00F34A23" w:rsidP="00F34A23">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4CE1F739" w14:textId="77777777" w:rsidR="00F34A23" w:rsidRPr="00C35CD0" w:rsidRDefault="00F34A23" w:rsidP="00F34A23">
      <w:pPr>
        <w:pStyle w:val="Odstavecseseznamem"/>
        <w:spacing w:before="240"/>
        <w:ind w:left="792"/>
        <w:jc w:val="both"/>
        <w:rPr>
          <w:rFonts w:ascii="Times New Roman" w:hAnsi="Times New Roman" w:cs="Times New Roman"/>
        </w:rPr>
      </w:pPr>
    </w:p>
    <w:p w14:paraId="529DBD89" w14:textId="278A9D9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087D0225" w14:textId="697E58A8"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3EC802F5" w14:textId="075BDB32"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4ACCE9BC" w14:textId="3F7AAD6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322FAB5D" w14:textId="77777777" w:rsidR="00C35CD0" w:rsidRPr="00C35CD0" w:rsidRDefault="00C35CD0" w:rsidP="001A6AAC">
      <w:pPr>
        <w:spacing w:before="240"/>
        <w:jc w:val="both"/>
        <w:rPr>
          <w:rFonts w:ascii="Times New Roman" w:hAnsi="Times New Roman" w:cs="Times New Roman"/>
        </w:rPr>
      </w:pPr>
    </w:p>
    <w:p w14:paraId="69CDCEFF"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dle VZ č. XXX </w:t>
      </w:r>
    </w:p>
    <w:p w14:paraId="178B0007"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4A8CDBE4"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18DCA162"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t>Ujednání o vzdáleném přístupu</w:t>
      </w:r>
    </w:p>
    <w:p w14:paraId="6327E120" w14:textId="22AE561E"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 xml:space="preserve">Příloha č. </w:t>
      </w:r>
      <w:r w:rsidR="003C347B">
        <w:rPr>
          <w:rFonts w:ascii="Times New Roman" w:hAnsi="Times New Roman" w:cs="Times New Roman"/>
        </w:rPr>
        <w:t>5</w:t>
      </w:r>
      <w:r w:rsidRPr="00C35CD0">
        <w:rPr>
          <w:rFonts w:ascii="Times New Roman" w:hAnsi="Times New Roman" w:cs="Times New Roman"/>
        </w:rPr>
        <w:t xml:space="preserve"> (*dodavatel):</w:t>
      </w:r>
    </w:p>
    <w:p w14:paraId="3D0A0771" w14:textId="025F6DA8" w:rsidR="00C35CD0" w:rsidRDefault="00C35CD0" w:rsidP="001A6AAC">
      <w:pPr>
        <w:spacing w:before="240"/>
        <w:jc w:val="both"/>
        <w:rPr>
          <w:rFonts w:ascii="Times New Roman" w:hAnsi="Times New Roman" w:cs="Times New Roman"/>
          <w:i/>
          <w:iCs/>
        </w:rPr>
      </w:pPr>
      <w:r w:rsidRPr="003C347B">
        <w:rPr>
          <w:rFonts w:ascii="Times New Roman" w:hAnsi="Times New Roman" w:cs="Times New Roman"/>
          <w:i/>
          <w:iCs/>
        </w:rPr>
        <w:t xml:space="preserve">Dodavatel může tuto smlouvu rozšířit o další přílohy, přičemž musí tyto přílohy řádně označit*.  V případě dalších dokumentů (příloh) přiložených dodavatelem, jako jsou Všeobecné obchodní podmínky, Licenční podmínky, apod., má znění této Smlouvy přednost před zněním takových dokumentů. Dobrovolné přílohy nemůžou žádným způsobem znevýhodňovat objednatele, a proto všechny další přílohy, které se dodavatel rozhodne připojit, musí objednatel před podpisem smlouvy odsouhlasit. Přílohy, které objednatel neodsouhlasí nebudou platnou součástí této smlouvy.    </w:t>
      </w:r>
    </w:p>
    <w:p w14:paraId="11101E32" w14:textId="77777777" w:rsidR="003C347B" w:rsidRDefault="003C347B" w:rsidP="001A6AAC">
      <w:pPr>
        <w:spacing w:before="240"/>
        <w:jc w:val="both"/>
        <w:rPr>
          <w:rFonts w:ascii="Times New Roman" w:hAnsi="Times New Roman" w:cs="Times New Roman"/>
          <w:i/>
          <w:iCs/>
        </w:rPr>
      </w:pPr>
    </w:p>
    <w:p w14:paraId="6D8A3552" w14:textId="77777777" w:rsidR="003C347B" w:rsidRPr="0085116C" w:rsidRDefault="003C347B" w:rsidP="001A6AAC">
      <w:pPr>
        <w:spacing w:before="240"/>
        <w:rPr>
          <w:rFonts w:ascii="Times New Roman" w:hAnsi="Times New Roman" w:cs="Times New Roman"/>
          <w:sz w:val="24"/>
          <w:szCs w:val="24"/>
        </w:rPr>
      </w:pPr>
      <w:r w:rsidRPr="0085116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2C7A48" w14:textId="77777777" w:rsidR="003C347B" w:rsidRPr="0085116C" w:rsidRDefault="003C347B" w:rsidP="001A6AAC">
      <w:pPr>
        <w:spacing w:before="240"/>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85116C">
        <w:rPr>
          <w:rFonts w:ascii="Times New Roman" w:hAnsi="Times New Roman" w:cs="Times New Roman"/>
          <w:sz w:val="24"/>
          <w:szCs w:val="24"/>
        </w:rPr>
        <w:t>jméno, funkce</w:t>
      </w:r>
      <w:r>
        <w:rPr>
          <w:rFonts w:ascii="Times New Roman" w:hAnsi="Times New Roman" w:cs="Times New Roman"/>
          <w:sz w:val="24"/>
          <w:szCs w:val="24"/>
        </w:rPr>
        <w:tab/>
      </w:r>
    </w:p>
    <w:p w14:paraId="475C00C9" w14:textId="77777777" w:rsidR="003C347B" w:rsidRDefault="003C347B" w:rsidP="001A6AAC">
      <w:pPr>
        <w:spacing w:before="240"/>
        <w:rPr>
          <w:rFonts w:ascii="Times New Roman" w:hAnsi="Times New Roman" w:cs="Times New Roman"/>
          <w:sz w:val="24"/>
          <w:szCs w:val="24"/>
        </w:rPr>
      </w:pPr>
      <w:r>
        <w:rPr>
          <w:rFonts w:ascii="Times New Roman" w:hAnsi="Times New Roman" w:cs="Times New Roman"/>
          <w:sz w:val="24"/>
          <w:szCs w:val="24"/>
        </w:rPr>
        <w:lastRenderedPageBreak/>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p w14:paraId="1D414F41" w14:textId="2F7183B6" w:rsidR="003C347B" w:rsidRDefault="003C347B" w:rsidP="001A6AAC">
      <w:pPr>
        <w:spacing w:before="240" w:line="278" w:lineRule="auto"/>
        <w:rPr>
          <w:rFonts w:ascii="Times New Roman" w:hAnsi="Times New Roman" w:cs="Times New Roman"/>
          <w:i/>
          <w:iCs/>
        </w:rPr>
      </w:pPr>
      <w:r>
        <w:rPr>
          <w:rFonts w:ascii="Times New Roman" w:hAnsi="Times New Roman" w:cs="Times New Roman"/>
          <w:i/>
          <w:iCs/>
        </w:rPr>
        <w:br w:type="page"/>
      </w:r>
    </w:p>
    <w:p w14:paraId="6AEC0026" w14:textId="77777777" w:rsidR="003C347B" w:rsidRPr="005B0283" w:rsidRDefault="003C347B" w:rsidP="001A6AAC">
      <w:pPr>
        <w:spacing w:before="240"/>
        <w:rPr>
          <w:rFonts w:ascii="Times New Roman" w:hAnsi="Times New Roman" w:cs="Times New Roman"/>
          <w:b/>
          <w:sz w:val="24"/>
          <w:szCs w:val="24"/>
        </w:rPr>
      </w:pPr>
      <w:r w:rsidRPr="005B0283">
        <w:rPr>
          <w:rFonts w:ascii="Times New Roman" w:hAnsi="Times New Roman" w:cs="Times New Roman"/>
          <w:b/>
          <w:sz w:val="24"/>
          <w:szCs w:val="24"/>
        </w:rPr>
        <w:lastRenderedPageBreak/>
        <w:t xml:space="preserve">Příloha č. 3 </w:t>
      </w:r>
      <w:r>
        <w:rPr>
          <w:rFonts w:ascii="Times New Roman" w:hAnsi="Times New Roman" w:cs="Times New Roman"/>
          <w:b/>
          <w:sz w:val="24"/>
          <w:szCs w:val="24"/>
        </w:rPr>
        <w:t>–</w:t>
      </w:r>
      <w:r w:rsidRPr="005B0283">
        <w:rPr>
          <w:rFonts w:ascii="Times New Roman" w:hAnsi="Times New Roman" w:cs="Times New Roman"/>
          <w:b/>
          <w:sz w:val="24"/>
          <w:szCs w:val="24"/>
        </w:rPr>
        <w:t xml:space="preserve"> </w:t>
      </w:r>
      <w:r>
        <w:rPr>
          <w:rFonts w:ascii="Times New Roman" w:hAnsi="Times New Roman" w:cs="Times New Roman"/>
          <w:b/>
          <w:sz w:val="24"/>
          <w:szCs w:val="24"/>
        </w:rPr>
        <w:t>Podpora a servis</w:t>
      </w:r>
      <w:r w:rsidRPr="005B0283">
        <w:rPr>
          <w:rFonts w:ascii="Times New Roman" w:hAnsi="Times New Roman" w:cs="Times New Roman"/>
          <w:b/>
          <w:sz w:val="24"/>
          <w:szCs w:val="24"/>
        </w:rPr>
        <w:t xml:space="preserve"> </w:t>
      </w:r>
    </w:p>
    <w:p w14:paraId="7ACEB214" w14:textId="77777777" w:rsidR="003C347B" w:rsidRPr="005B0283" w:rsidRDefault="003C347B" w:rsidP="001A6AAC">
      <w:pPr>
        <w:spacing w:before="240"/>
        <w:rPr>
          <w:rFonts w:ascii="Times New Roman" w:hAnsi="Times New Roman" w:cs="Times New Roman"/>
          <w:sz w:val="24"/>
          <w:szCs w:val="24"/>
        </w:rPr>
      </w:pPr>
    </w:p>
    <w:p w14:paraId="6692A844" w14:textId="77777777"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Pr>
          <w:rFonts w:ascii="Times New Roman" w:hAnsi="Times New Roman" w:cs="Times New Roman"/>
          <w:sz w:val="24"/>
          <w:szCs w:val="24"/>
        </w:rPr>
        <w:t xml:space="preserve">Pověření pracovníci objednatele mají právo oznamovat své požadavky ohledně servisu systému prostřednictvím přístupu do servisního portálu dodavatele (HelpDesk) nebo telefonicky. </w:t>
      </w:r>
      <w:bookmarkStart w:id="3" w:name="_Hlk177626028"/>
      <w:r>
        <w:rPr>
          <w:rFonts w:ascii="Times New Roman" w:hAnsi="Times New Roman" w:cs="Times New Roman"/>
          <w:sz w:val="24"/>
          <w:szCs w:val="24"/>
        </w:rPr>
        <w:t>Dojde-li během trvání smlouvy ke změně pověřené osoby, dá tuto skutečnost objednatel dodavateli písemně (např. emailem) na vědomí, přičemž o této skutečnosti není třeba uzavírat dodatek ke smlouvě.</w:t>
      </w:r>
      <w:bookmarkEnd w:id="3"/>
    </w:p>
    <w:p w14:paraId="234E3469" w14:textId="77777777" w:rsidR="003C347B" w:rsidRPr="00DE36D3" w:rsidRDefault="003C347B" w:rsidP="001A6AAC">
      <w:pPr>
        <w:pStyle w:val="Odstavecseseznamem"/>
        <w:spacing w:before="240"/>
        <w:rPr>
          <w:b/>
        </w:rPr>
      </w:pPr>
      <w:r>
        <w:rPr>
          <w:b/>
        </w:rPr>
        <w:t>Pověře</w:t>
      </w:r>
      <w:r w:rsidRPr="00DE36D3">
        <w:rPr>
          <w:b/>
        </w:rPr>
        <w:t xml:space="preserve">né osoby </w:t>
      </w:r>
      <w:r>
        <w:rPr>
          <w:b/>
        </w:rPr>
        <w:t>objednatele</w:t>
      </w:r>
    </w:p>
    <w:tbl>
      <w:tblPr>
        <w:tblStyle w:val="Mkatabulky"/>
        <w:tblW w:w="0" w:type="auto"/>
        <w:tblInd w:w="704" w:type="dxa"/>
        <w:tblLook w:val="04A0" w:firstRow="1" w:lastRow="0" w:firstColumn="1" w:lastColumn="0" w:noHBand="0" w:noVBand="1"/>
      </w:tblPr>
      <w:tblGrid>
        <w:gridCol w:w="2316"/>
        <w:gridCol w:w="3021"/>
        <w:gridCol w:w="3021"/>
      </w:tblGrid>
      <w:tr w:rsidR="003C347B" w:rsidRPr="00475451" w14:paraId="2F63A1F7" w14:textId="77777777" w:rsidTr="005E2369">
        <w:tc>
          <w:tcPr>
            <w:tcW w:w="2316" w:type="dxa"/>
            <w:shd w:val="clear" w:color="auto" w:fill="BFBFBF" w:themeFill="background1" w:themeFillShade="BF"/>
          </w:tcPr>
          <w:p w14:paraId="0A3D75B7" w14:textId="77777777" w:rsidR="003C347B" w:rsidRPr="00475451" w:rsidRDefault="003C347B" w:rsidP="001A6AAC">
            <w:pPr>
              <w:spacing w:before="240"/>
              <w:jc w:val="center"/>
              <w:rPr>
                <w:b/>
              </w:rPr>
            </w:pPr>
            <w:r w:rsidRPr="00475451">
              <w:rPr>
                <w:b/>
              </w:rPr>
              <w:t>Jméno</w:t>
            </w:r>
          </w:p>
        </w:tc>
        <w:tc>
          <w:tcPr>
            <w:tcW w:w="3021" w:type="dxa"/>
            <w:shd w:val="clear" w:color="auto" w:fill="BFBFBF" w:themeFill="background1" w:themeFillShade="BF"/>
          </w:tcPr>
          <w:p w14:paraId="72D9B196" w14:textId="77777777" w:rsidR="003C347B" w:rsidRPr="00475451" w:rsidRDefault="003C347B" w:rsidP="001A6AAC">
            <w:pPr>
              <w:spacing w:before="240"/>
              <w:jc w:val="center"/>
              <w:rPr>
                <w:b/>
              </w:rPr>
            </w:pPr>
            <w:r w:rsidRPr="00475451">
              <w:rPr>
                <w:b/>
              </w:rPr>
              <w:t>Email</w:t>
            </w:r>
          </w:p>
        </w:tc>
        <w:tc>
          <w:tcPr>
            <w:tcW w:w="3021" w:type="dxa"/>
            <w:shd w:val="clear" w:color="auto" w:fill="BFBFBF" w:themeFill="background1" w:themeFillShade="BF"/>
          </w:tcPr>
          <w:p w14:paraId="247ECBF8" w14:textId="77777777" w:rsidR="003C347B" w:rsidRPr="00475451" w:rsidRDefault="003C347B" w:rsidP="001A6AAC">
            <w:pPr>
              <w:spacing w:before="240"/>
              <w:jc w:val="center"/>
              <w:rPr>
                <w:b/>
              </w:rPr>
            </w:pPr>
            <w:r w:rsidRPr="00475451">
              <w:rPr>
                <w:b/>
              </w:rPr>
              <w:t>telefon</w:t>
            </w:r>
          </w:p>
        </w:tc>
      </w:tr>
      <w:tr w:rsidR="003C347B" w14:paraId="4D227276" w14:textId="77777777" w:rsidTr="005E2369">
        <w:tc>
          <w:tcPr>
            <w:tcW w:w="2316" w:type="dxa"/>
          </w:tcPr>
          <w:p w14:paraId="1C495567" w14:textId="77777777" w:rsidR="003C347B" w:rsidRPr="00475451" w:rsidRDefault="003C347B" w:rsidP="001A6AAC">
            <w:pPr>
              <w:spacing w:before="240"/>
              <w:rPr>
                <w:i/>
              </w:rPr>
            </w:pPr>
            <w:r w:rsidRPr="00475451">
              <w:rPr>
                <w:i/>
                <w:highlight w:val="cyan"/>
              </w:rPr>
              <w:t>Doplní objednatel před podpisem smlouvy</w:t>
            </w:r>
          </w:p>
        </w:tc>
        <w:tc>
          <w:tcPr>
            <w:tcW w:w="3021" w:type="dxa"/>
          </w:tcPr>
          <w:p w14:paraId="445E0DA2" w14:textId="77777777" w:rsidR="003C347B" w:rsidRDefault="003C347B" w:rsidP="001A6AAC">
            <w:pPr>
              <w:spacing w:before="240"/>
            </w:pPr>
          </w:p>
        </w:tc>
        <w:tc>
          <w:tcPr>
            <w:tcW w:w="3021" w:type="dxa"/>
          </w:tcPr>
          <w:p w14:paraId="673DE90C" w14:textId="77777777" w:rsidR="003C347B" w:rsidRDefault="003C347B" w:rsidP="001A6AAC">
            <w:pPr>
              <w:spacing w:before="240"/>
            </w:pPr>
          </w:p>
        </w:tc>
      </w:tr>
      <w:tr w:rsidR="003C347B" w14:paraId="3EAE0DB0" w14:textId="77777777" w:rsidTr="005E2369">
        <w:tc>
          <w:tcPr>
            <w:tcW w:w="2316" w:type="dxa"/>
          </w:tcPr>
          <w:p w14:paraId="3D8DF16F" w14:textId="77777777" w:rsidR="003C347B" w:rsidRDefault="003C347B" w:rsidP="001A6AAC">
            <w:pPr>
              <w:spacing w:before="240"/>
            </w:pPr>
          </w:p>
        </w:tc>
        <w:tc>
          <w:tcPr>
            <w:tcW w:w="3021" w:type="dxa"/>
          </w:tcPr>
          <w:p w14:paraId="0973FDA1" w14:textId="77777777" w:rsidR="003C347B" w:rsidRDefault="003C347B" w:rsidP="001A6AAC">
            <w:pPr>
              <w:spacing w:before="240"/>
            </w:pPr>
          </w:p>
        </w:tc>
        <w:tc>
          <w:tcPr>
            <w:tcW w:w="3021" w:type="dxa"/>
          </w:tcPr>
          <w:p w14:paraId="41D5B5D9" w14:textId="77777777" w:rsidR="003C347B" w:rsidRDefault="003C347B" w:rsidP="001A6AAC">
            <w:pPr>
              <w:spacing w:before="240"/>
            </w:pPr>
          </w:p>
        </w:tc>
      </w:tr>
      <w:tr w:rsidR="003C347B" w14:paraId="0FF07590" w14:textId="77777777" w:rsidTr="005E2369">
        <w:tc>
          <w:tcPr>
            <w:tcW w:w="2316" w:type="dxa"/>
          </w:tcPr>
          <w:p w14:paraId="364FFA32" w14:textId="77777777" w:rsidR="003C347B" w:rsidRDefault="003C347B" w:rsidP="001A6AAC">
            <w:pPr>
              <w:spacing w:before="240"/>
            </w:pPr>
          </w:p>
        </w:tc>
        <w:tc>
          <w:tcPr>
            <w:tcW w:w="3021" w:type="dxa"/>
          </w:tcPr>
          <w:p w14:paraId="353E212A" w14:textId="77777777" w:rsidR="003C347B" w:rsidRDefault="003C347B" w:rsidP="001A6AAC">
            <w:pPr>
              <w:spacing w:before="240"/>
            </w:pPr>
          </w:p>
        </w:tc>
        <w:tc>
          <w:tcPr>
            <w:tcW w:w="3021" w:type="dxa"/>
          </w:tcPr>
          <w:p w14:paraId="2B8B094C" w14:textId="77777777" w:rsidR="003C347B" w:rsidRDefault="003C347B" w:rsidP="001A6AAC">
            <w:pPr>
              <w:spacing w:before="240"/>
            </w:pPr>
          </w:p>
        </w:tc>
      </w:tr>
    </w:tbl>
    <w:p w14:paraId="16DADDB2" w14:textId="77777777" w:rsidR="003C347B" w:rsidRPr="00DE36D3" w:rsidRDefault="003C347B" w:rsidP="001A6AAC">
      <w:pPr>
        <w:spacing w:before="240"/>
        <w:ind w:left="360"/>
        <w:rPr>
          <w:rFonts w:ascii="Times New Roman" w:hAnsi="Times New Roman" w:cs="Times New Roman"/>
          <w:sz w:val="24"/>
          <w:szCs w:val="24"/>
        </w:rPr>
      </w:pPr>
    </w:p>
    <w:p w14:paraId="6577BAF9" w14:textId="77777777" w:rsidR="003C347B" w:rsidRPr="005B0283"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5B0283">
        <w:rPr>
          <w:rFonts w:ascii="Times New Roman" w:hAnsi="Times New Roman" w:cs="Times New Roman"/>
          <w:sz w:val="24"/>
          <w:szCs w:val="24"/>
        </w:rPr>
        <w:t xml:space="preserve">Preferovaným způsobem servisních činností </w:t>
      </w:r>
      <w:r>
        <w:rPr>
          <w:rFonts w:ascii="Times New Roman" w:hAnsi="Times New Roman" w:cs="Times New Roman"/>
          <w:sz w:val="24"/>
          <w:szCs w:val="24"/>
        </w:rPr>
        <w:t xml:space="preserve">podpory a oprav </w:t>
      </w:r>
      <w:r w:rsidRPr="005B0283">
        <w:rPr>
          <w:rFonts w:ascii="Times New Roman" w:hAnsi="Times New Roman" w:cs="Times New Roman"/>
          <w:sz w:val="24"/>
          <w:szCs w:val="24"/>
        </w:rPr>
        <w:t xml:space="preserve">je vzdálený přístup dodavatele do infrastruktury objednatele přes VPN. Pokud nebude možné provést opravu či servis formou vzdáleného připojení, bude zásah proveden </w:t>
      </w:r>
      <w:r>
        <w:rPr>
          <w:rFonts w:ascii="Times New Roman" w:hAnsi="Times New Roman" w:cs="Times New Roman"/>
          <w:sz w:val="24"/>
          <w:szCs w:val="24"/>
        </w:rPr>
        <w:t>na místě dle pravidel uvedených v této příloze</w:t>
      </w:r>
      <w:r w:rsidRPr="005B0283">
        <w:rPr>
          <w:rFonts w:ascii="Times New Roman" w:hAnsi="Times New Roman" w:cs="Times New Roman"/>
          <w:sz w:val="24"/>
          <w:szCs w:val="24"/>
        </w:rPr>
        <w:t>.</w:t>
      </w:r>
    </w:p>
    <w:p w14:paraId="3D4CBCF9" w14:textId="77777777"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5B0283">
        <w:rPr>
          <w:rFonts w:ascii="Times New Roman" w:hAnsi="Times New Roman" w:cs="Times New Roman"/>
          <w:sz w:val="24"/>
          <w:szCs w:val="24"/>
        </w:rPr>
        <w:t>Pravidla pro vzdálený přístup do síťové infrastruktury ONN jsou uvedena v příloze č.4 smlouvy: Ujednání o vzdáleném přístupu.</w:t>
      </w:r>
    </w:p>
    <w:p w14:paraId="43FA601E" w14:textId="77777777" w:rsidR="003C347B" w:rsidRPr="00157FC5" w:rsidRDefault="003C347B" w:rsidP="001A6AAC">
      <w:pPr>
        <w:pStyle w:val="Odstavecseseznamem"/>
        <w:numPr>
          <w:ilvl w:val="0"/>
          <w:numId w:val="5"/>
        </w:numPr>
        <w:spacing w:before="240"/>
        <w:jc w:val="both"/>
        <w:rPr>
          <w:rFonts w:ascii="Times New Roman" w:hAnsi="Times New Roman" w:cs="Times New Roman"/>
          <w:sz w:val="24"/>
          <w:szCs w:val="24"/>
        </w:rPr>
      </w:pPr>
      <w:r w:rsidRPr="00157FC5">
        <w:rPr>
          <w:rFonts w:ascii="Times New Roman" w:hAnsi="Times New Roman" w:cs="Times New Roman"/>
          <w:sz w:val="24"/>
          <w:szCs w:val="24"/>
        </w:rPr>
        <w:t>Rozsah a popis prací servisní služby podpory s</w:t>
      </w:r>
      <w:r>
        <w:rPr>
          <w:rFonts w:ascii="Times New Roman" w:hAnsi="Times New Roman" w:cs="Times New Roman"/>
          <w:sz w:val="24"/>
          <w:szCs w:val="24"/>
        </w:rPr>
        <w:t>ystému v rámci paušálu:</w:t>
      </w:r>
    </w:p>
    <w:p w14:paraId="7746398F" w14:textId="77777777" w:rsidR="003C347B" w:rsidRDefault="003C347B" w:rsidP="001A6AAC">
      <w:pPr>
        <w:pStyle w:val="Odstavecseseznamem"/>
        <w:numPr>
          <w:ilvl w:val="1"/>
          <w:numId w:val="5"/>
        </w:numPr>
        <w:spacing w:before="240"/>
        <w:contextualSpacing w:val="0"/>
        <w:jc w:val="both"/>
        <w:rPr>
          <w:rFonts w:ascii="Times New Roman" w:hAnsi="Times New Roman" w:cs="Times New Roman"/>
          <w:sz w:val="24"/>
          <w:szCs w:val="24"/>
        </w:rPr>
      </w:pPr>
      <w:r>
        <w:rPr>
          <w:rFonts w:ascii="Times New Roman" w:hAnsi="Times New Roman" w:cs="Times New Roman"/>
          <w:sz w:val="24"/>
          <w:szCs w:val="24"/>
        </w:rPr>
        <w:t>Přístup pověřených uživatelů objednatele do systému HelpDesk dodavatele v režimu 24/7/365</w:t>
      </w:r>
    </w:p>
    <w:p w14:paraId="5C1B1AE8" w14:textId="77777777" w:rsidR="003C347B" w:rsidRDefault="003C347B" w:rsidP="001A6AAC">
      <w:pPr>
        <w:pStyle w:val="Odstavecseseznamem"/>
        <w:numPr>
          <w:ilvl w:val="1"/>
          <w:numId w:val="5"/>
        </w:numPr>
        <w:spacing w:before="240"/>
        <w:contextualSpacing w:val="0"/>
        <w:jc w:val="both"/>
        <w:rPr>
          <w:rFonts w:ascii="Times New Roman" w:hAnsi="Times New Roman" w:cs="Times New Roman"/>
          <w:sz w:val="24"/>
          <w:szCs w:val="24"/>
        </w:rPr>
      </w:pPr>
      <w:r>
        <w:rPr>
          <w:rFonts w:ascii="Times New Roman" w:hAnsi="Times New Roman" w:cs="Times New Roman"/>
          <w:sz w:val="24"/>
          <w:szCs w:val="24"/>
        </w:rPr>
        <w:t xml:space="preserve">Telefonická </w:t>
      </w:r>
      <w:r w:rsidRPr="00157FC5">
        <w:rPr>
          <w:rFonts w:ascii="Times New Roman" w:hAnsi="Times New Roman" w:cs="Times New Roman"/>
          <w:sz w:val="24"/>
          <w:szCs w:val="24"/>
        </w:rPr>
        <w:t xml:space="preserve">podpora </w:t>
      </w:r>
      <w:r>
        <w:rPr>
          <w:rFonts w:ascii="Times New Roman" w:hAnsi="Times New Roman" w:cs="Times New Roman"/>
          <w:sz w:val="24"/>
          <w:szCs w:val="24"/>
        </w:rPr>
        <w:t>(</w:t>
      </w:r>
      <w:proofErr w:type="spellStart"/>
      <w:r>
        <w:rPr>
          <w:rFonts w:ascii="Times New Roman" w:hAnsi="Times New Roman" w:cs="Times New Roman"/>
          <w:sz w:val="24"/>
          <w:szCs w:val="24"/>
        </w:rPr>
        <w:t>HotLine</w:t>
      </w:r>
      <w:proofErr w:type="spellEnd"/>
      <w:r>
        <w:rPr>
          <w:rFonts w:ascii="Times New Roman" w:hAnsi="Times New Roman" w:cs="Times New Roman"/>
          <w:sz w:val="24"/>
          <w:szCs w:val="24"/>
        </w:rPr>
        <w:t xml:space="preserve">) </w:t>
      </w:r>
      <w:r w:rsidRPr="00157FC5">
        <w:rPr>
          <w:rFonts w:ascii="Times New Roman" w:hAnsi="Times New Roman" w:cs="Times New Roman"/>
          <w:sz w:val="24"/>
          <w:szCs w:val="24"/>
        </w:rPr>
        <w:t xml:space="preserve">při řešení problémů </w:t>
      </w:r>
      <w:r>
        <w:rPr>
          <w:rFonts w:ascii="Times New Roman" w:hAnsi="Times New Roman" w:cs="Times New Roman"/>
          <w:sz w:val="24"/>
          <w:szCs w:val="24"/>
        </w:rPr>
        <w:t>na tel. čísle [</w:t>
      </w:r>
      <w:r w:rsidRPr="00AF4862">
        <w:rPr>
          <w:rFonts w:ascii="Times New Roman" w:hAnsi="Times New Roman" w:cs="Times New Roman"/>
          <w:sz w:val="24"/>
          <w:szCs w:val="24"/>
          <w:highlight w:val="yellow"/>
        </w:rPr>
        <w:t>DOPLNÍ DODAVATEL</w:t>
      </w:r>
      <w:r>
        <w:rPr>
          <w:rFonts w:ascii="Times New Roman" w:hAnsi="Times New Roman" w:cs="Times New Roman"/>
          <w:sz w:val="24"/>
          <w:szCs w:val="24"/>
        </w:rPr>
        <w:t xml:space="preserve">] </w:t>
      </w:r>
      <w:r w:rsidRPr="00157FC5">
        <w:rPr>
          <w:rFonts w:ascii="Times New Roman" w:hAnsi="Times New Roman" w:cs="Times New Roman"/>
          <w:sz w:val="24"/>
          <w:szCs w:val="24"/>
        </w:rPr>
        <w:t>v</w:t>
      </w:r>
      <w:r>
        <w:rPr>
          <w:rFonts w:ascii="Times New Roman" w:hAnsi="Times New Roman" w:cs="Times New Roman"/>
          <w:sz w:val="24"/>
          <w:szCs w:val="24"/>
        </w:rPr>
        <w:t> režimu 24/7/365;</w:t>
      </w:r>
    </w:p>
    <w:p w14:paraId="16E42F25" w14:textId="77777777" w:rsidR="003C347B" w:rsidRPr="00157FC5" w:rsidRDefault="003C347B" w:rsidP="001A6AAC">
      <w:pPr>
        <w:pStyle w:val="Odstavecseseznamem"/>
        <w:numPr>
          <w:ilvl w:val="1"/>
          <w:numId w:val="5"/>
        </w:numPr>
        <w:spacing w:before="240"/>
        <w:jc w:val="both"/>
        <w:rPr>
          <w:rFonts w:ascii="Times New Roman" w:hAnsi="Times New Roman" w:cs="Times New Roman"/>
          <w:sz w:val="24"/>
          <w:szCs w:val="24"/>
        </w:rPr>
      </w:pPr>
      <w:r w:rsidRPr="00157FC5">
        <w:rPr>
          <w:rFonts w:ascii="Times New Roman" w:hAnsi="Times New Roman" w:cs="Times New Roman"/>
          <w:sz w:val="24"/>
          <w:szCs w:val="24"/>
        </w:rPr>
        <w:t>Update SW: opravy chyb SW a úpravy SW z hlediska souladu s aktuálně platnou legislativou</w:t>
      </w:r>
      <w:r>
        <w:rPr>
          <w:rFonts w:ascii="Times New Roman" w:hAnsi="Times New Roman" w:cs="Times New Roman"/>
          <w:sz w:val="24"/>
          <w:szCs w:val="24"/>
        </w:rPr>
        <w:t>;</w:t>
      </w:r>
    </w:p>
    <w:p w14:paraId="4AF15164" w14:textId="77777777" w:rsidR="003C347B" w:rsidRPr="00157FC5" w:rsidRDefault="003C347B" w:rsidP="001A6AAC">
      <w:pPr>
        <w:pStyle w:val="Odstavecseseznamem"/>
        <w:numPr>
          <w:ilvl w:val="1"/>
          <w:numId w:val="5"/>
        </w:numPr>
        <w:spacing w:before="240"/>
        <w:jc w:val="both"/>
        <w:rPr>
          <w:rFonts w:ascii="Times New Roman" w:hAnsi="Times New Roman" w:cs="Times New Roman"/>
          <w:sz w:val="24"/>
          <w:szCs w:val="24"/>
        </w:rPr>
      </w:pPr>
      <w:r w:rsidRPr="00157FC5">
        <w:rPr>
          <w:rFonts w:ascii="Times New Roman" w:hAnsi="Times New Roman" w:cs="Times New Roman"/>
          <w:sz w:val="24"/>
          <w:szCs w:val="24"/>
        </w:rPr>
        <w:t xml:space="preserve">Upgrade SW: </w:t>
      </w:r>
      <w:r>
        <w:rPr>
          <w:rFonts w:ascii="Times New Roman" w:hAnsi="Times New Roman" w:cs="Times New Roman"/>
          <w:sz w:val="24"/>
          <w:szCs w:val="24"/>
        </w:rPr>
        <w:t xml:space="preserve">nové verze, </w:t>
      </w:r>
      <w:r w:rsidRPr="00157FC5">
        <w:rPr>
          <w:rFonts w:ascii="Times New Roman" w:hAnsi="Times New Roman" w:cs="Times New Roman"/>
          <w:sz w:val="24"/>
          <w:szCs w:val="24"/>
        </w:rPr>
        <w:t xml:space="preserve">úpravy anebo vylepšení </w:t>
      </w:r>
      <w:r>
        <w:rPr>
          <w:rFonts w:ascii="Times New Roman" w:hAnsi="Times New Roman" w:cs="Times New Roman"/>
          <w:sz w:val="24"/>
          <w:szCs w:val="24"/>
        </w:rPr>
        <w:t>systému včetně nových funkcionalit;</w:t>
      </w:r>
    </w:p>
    <w:p w14:paraId="26CC56F3" w14:textId="77777777" w:rsidR="003C347B" w:rsidRDefault="003C347B" w:rsidP="001A6AAC">
      <w:pPr>
        <w:pStyle w:val="Odstavecseseznamem"/>
        <w:numPr>
          <w:ilvl w:val="1"/>
          <w:numId w:val="5"/>
        </w:numPr>
        <w:spacing w:before="240"/>
        <w:jc w:val="both"/>
        <w:rPr>
          <w:rFonts w:ascii="Times New Roman" w:hAnsi="Times New Roman" w:cs="Times New Roman"/>
          <w:sz w:val="24"/>
          <w:szCs w:val="24"/>
        </w:rPr>
      </w:pPr>
      <w:r w:rsidRPr="007C3429">
        <w:rPr>
          <w:rFonts w:ascii="Times New Roman" w:hAnsi="Times New Roman" w:cs="Times New Roman"/>
          <w:sz w:val="24"/>
          <w:szCs w:val="24"/>
        </w:rPr>
        <w:t>1x ročně profylax</w:t>
      </w:r>
      <w:r>
        <w:rPr>
          <w:rFonts w:ascii="Times New Roman" w:hAnsi="Times New Roman" w:cs="Times New Roman"/>
          <w:sz w:val="24"/>
          <w:szCs w:val="24"/>
        </w:rPr>
        <w:t>e - prohlídka</w:t>
      </w:r>
      <w:r w:rsidRPr="007C3429">
        <w:rPr>
          <w:rFonts w:ascii="Times New Roman" w:hAnsi="Times New Roman" w:cs="Times New Roman"/>
          <w:sz w:val="24"/>
          <w:szCs w:val="24"/>
        </w:rPr>
        <w:t xml:space="preserve"> (BTK) v</w:t>
      </w:r>
      <w:r>
        <w:rPr>
          <w:rFonts w:ascii="Times New Roman" w:hAnsi="Times New Roman" w:cs="Times New Roman"/>
          <w:sz w:val="24"/>
          <w:szCs w:val="24"/>
        </w:rPr>
        <w:t> </w:t>
      </w:r>
      <w:r w:rsidRPr="007C3429">
        <w:rPr>
          <w:rFonts w:ascii="Times New Roman" w:hAnsi="Times New Roman" w:cs="Times New Roman"/>
          <w:sz w:val="24"/>
          <w:szCs w:val="24"/>
        </w:rPr>
        <w:t>místě</w:t>
      </w:r>
      <w:r w:rsidRPr="00D21843">
        <w:rPr>
          <w:rFonts w:ascii="Times New Roman" w:hAnsi="Times New Roman" w:cs="Times New Roman"/>
          <w:sz w:val="24"/>
          <w:szCs w:val="24"/>
        </w:rPr>
        <w:t xml:space="preserve"> </w:t>
      </w:r>
    </w:p>
    <w:p w14:paraId="08307828" w14:textId="77777777" w:rsidR="003C347B" w:rsidRDefault="003C347B" w:rsidP="001A6AAC">
      <w:pPr>
        <w:pStyle w:val="Odstavecseseznamem"/>
        <w:numPr>
          <w:ilvl w:val="1"/>
          <w:numId w:val="5"/>
        </w:numPr>
        <w:spacing w:before="240"/>
        <w:jc w:val="both"/>
        <w:rPr>
          <w:rFonts w:ascii="Times New Roman" w:hAnsi="Times New Roman" w:cs="Times New Roman"/>
          <w:sz w:val="24"/>
          <w:szCs w:val="24"/>
        </w:rPr>
      </w:pPr>
      <w:r>
        <w:rPr>
          <w:rFonts w:ascii="Times New Roman" w:hAnsi="Times New Roman" w:cs="Times New Roman"/>
          <w:sz w:val="24"/>
          <w:szCs w:val="24"/>
        </w:rPr>
        <w:lastRenderedPageBreak/>
        <w:t>Administrace modalit (přidávání, konfigurace, odebírání)</w:t>
      </w:r>
    </w:p>
    <w:p w14:paraId="0578B731" w14:textId="665A9BBA" w:rsidR="003C347B" w:rsidRDefault="003C347B" w:rsidP="001A6AAC">
      <w:pPr>
        <w:pStyle w:val="Odstavecseseznamem"/>
        <w:numPr>
          <w:ilvl w:val="1"/>
          <w:numId w:val="5"/>
        </w:numPr>
        <w:spacing w:before="240"/>
        <w:ind w:left="1080"/>
        <w:jc w:val="both"/>
        <w:rPr>
          <w:rFonts w:ascii="Times New Roman" w:hAnsi="Times New Roman" w:cs="Times New Roman"/>
          <w:sz w:val="24"/>
          <w:szCs w:val="24"/>
        </w:rPr>
      </w:pPr>
      <w:r w:rsidRPr="00362828">
        <w:rPr>
          <w:rFonts w:ascii="Times New Roman" w:hAnsi="Times New Roman" w:cs="Times New Roman"/>
          <w:sz w:val="24"/>
          <w:szCs w:val="24"/>
        </w:rPr>
        <w:t>Implementace bezpečnostních záplat a úprav na základě zjištěných zranitelností nebo doporučení Národního úřadu pro kybernetickou a informační bezpečnost (NÚKIB).</w:t>
      </w:r>
    </w:p>
    <w:p w14:paraId="736EA74F" w14:textId="77777777" w:rsidR="00362828" w:rsidRPr="00362828" w:rsidRDefault="00362828" w:rsidP="00362828">
      <w:pPr>
        <w:pStyle w:val="Odstavecseseznamem"/>
        <w:spacing w:before="240"/>
        <w:ind w:left="1080"/>
        <w:jc w:val="both"/>
        <w:rPr>
          <w:rFonts w:ascii="Times New Roman" w:hAnsi="Times New Roman" w:cs="Times New Roman"/>
          <w:sz w:val="24"/>
          <w:szCs w:val="24"/>
        </w:rPr>
      </w:pPr>
    </w:p>
    <w:p w14:paraId="03189019" w14:textId="77777777" w:rsidR="003C347B" w:rsidRPr="00705A3F" w:rsidRDefault="003C347B" w:rsidP="001A6AAC">
      <w:pPr>
        <w:pStyle w:val="Odstavecseseznamem"/>
        <w:numPr>
          <w:ilvl w:val="0"/>
          <w:numId w:val="5"/>
        </w:numPr>
        <w:spacing w:before="240"/>
        <w:contextualSpacing w:val="0"/>
        <w:jc w:val="both"/>
        <w:rPr>
          <w:rFonts w:ascii="Times New Roman" w:hAnsi="Times New Roman" w:cs="Times New Roman"/>
          <w:b/>
          <w:sz w:val="24"/>
          <w:szCs w:val="24"/>
        </w:rPr>
      </w:pPr>
      <w:r w:rsidRPr="00705A3F">
        <w:rPr>
          <w:rFonts w:ascii="Times New Roman" w:hAnsi="Times New Roman" w:cs="Times New Roman"/>
          <w:b/>
          <w:sz w:val="24"/>
          <w:szCs w:val="24"/>
        </w:rPr>
        <w:t>Kategorie nahlášených událostí:</w:t>
      </w:r>
    </w:p>
    <w:p w14:paraId="605CB285" w14:textId="77777777" w:rsidR="003C347B" w:rsidRDefault="003C347B" w:rsidP="001A6AAC">
      <w:pPr>
        <w:pStyle w:val="Odstavecseseznamem"/>
        <w:numPr>
          <w:ilvl w:val="2"/>
          <w:numId w:val="5"/>
        </w:numPr>
        <w:spacing w:before="240"/>
        <w:jc w:val="both"/>
        <w:rPr>
          <w:rFonts w:ascii="Times New Roman" w:hAnsi="Times New Roman" w:cs="Times New Roman"/>
          <w:sz w:val="24"/>
          <w:szCs w:val="24"/>
        </w:rPr>
      </w:pPr>
      <w:r w:rsidRPr="00FC3E6E">
        <w:rPr>
          <w:rFonts w:ascii="Times New Roman" w:hAnsi="Times New Roman" w:cs="Times New Roman"/>
          <w:b/>
          <w:sz w:val="24"/>
          <w:szCs w:val="24"/>
        </w:rPr>
        <w:t>Havárie</w:t>
      </w:r>
      <w:r w:rsidRPr="00FC3E6E">
        <w:rPr>
          <w:rFonts w:ascii="Times New Roman" w:hAnsi="Times New Roman" w:cs="Times New Roman"/>
          <w:b/>
          <w:sz w:val="24"/>
          <w:szCs w:val="24"/>
        </w:rPr>
        <w:br/>
      </w:r>
      <w:r>
        <w:rPr>
          <w:rFonts w:ascii="Times New Roman" w:hAnsi="Times New Roman" w:cs="Times New Roman"/>
          <w:sz w:val="24"/>
          <w:szCs w:val="24"/>
        </w:rPr>
        <w:t>N</w:t>
      </w:r>
      <w:r w:rsidRPr="00FC3E6E">
        <w:rPr>
          <w:rFonts w:ascii="Times New Roman" w:hAnsi="Times New Roman" w:cs="Times New Roman"/>
          <w:sz w:val="24"/>
          <w:szCs w:val="24"/>
        </w:rPr>
        <w:t>emožnost použití aplikace k jejímu účelu jako celku, nebo nemožnost podporovat aplikací následující kritické</w:t>
      </w:r>
      <w:r>
        <w:rPr>
          <w:rFonts w:ascii="Times New Roman" w:hAnsi="Times New Roman" w:cs="Times New Roman"/>
          <w:sz w:val="24"/>
          <w:szCs w:val="24"/>
        </w:rPr>
        <w:t xml:space="preserve"> </w:t>
      </w:r>
      <w:r w:rsidRPr="00FC3E6E">
        <w:rPr>
          <w:rFonts w:ascii="Times New Roman" w:hAnsi="Times New Roman" w:cs="Times New Roman"/>
          <w:sz w:val="24"/>
          <w:szCs w:val="24"/>
        </w:rPr>
        <w:t xml:space="preserve">procesy: expedice, odběry a výroba. Stav, ve kterém by mohlo dojít k poškození či ztrátě pořizovaných dat. </w:t>
      </w:r>
      <w:r w:rsidRPr="00FC3E6E">
        <w:rPr>
          <w:rFonts w:ascii="Times New Roman" w:hAnsi="Times New Roman" w:cs="Times New Roman"/>
          <w:sz w:val="24"/>
          <w:szCs w:val="24"/>
        </w:rPr>
        <w:br/>
        <w:t>V takovém případě objednatel použije kromě hlášení přes systém HelpDesk i telefonické nahlášení na Hotline, přičemž za čas nahlášení pro závazek poskytovatele dle odstavce 9. se považuje čas telefonátu nebo zápisu do HelpDesku dle toho, která skutečnost nastane dříve.</w:t>
      </w:r>
    </w:p>
    <w:p w14:paraId="5F39954C" w14:textId="77777777" w:rsidR="003C347B" w:rsidRPr="003A049E" w:rsidRDefault="003C347B" w:rsidP="001A6AAC">
      <w:pPr>
        <w:spacing w:before="240"/>
        <w:ind w:left="1980"/>
        <w:jc w:val="both"/>
        <w:rPr>
          <w:rFonts w:ascii="Times New Roman" w:hAnsi="Times New Roman" w:cs="Times New Roman"/>
          <w:sz w:val="24"/>
          <w:szCs w:val="24"/>
        </w:rPr>
      </w:pPr>
    </w:p>
    <w:p w14:paraId="3F21748D" w14:textId="77777777" w:rsidR="003C347B" w:rsidRDefault="003C347B" w:rsidP="001A6AAC">
      <w:pPr>
        <w:pStyle w:val="Odstavecseseznamem"/>
        <w:numPr>
          <w:ilvl w:val="2"/>
          <w:numId w:val="5"/>
        </w:numPr>
        <w:spacing w:before="240"/>
        <w:jc w:val="both"/>
        <w:rPr>
          <w:rFonts w:ascii="Times New Roman" w:hAnsi="Times New Roman" w:cs="Times New Roman"/>
          <w:sz w:val="24"/>
          <w:szCs w:val="24"/>
        </w:rPr>
      </w:pPr>
      <w:r w:rsidRPr="003A049E">
        <w:rPr>
          <w:rFonts w:ascii="Times New Roman" w:hAnsi="Times New Roman" w:cs="Times New Roman"/>
          <w:b/>
          <w:sz w:val="24"/>
          <w:szCs w:val="24"/>
        </w:rPr>
        <w:t>Porucha</w:t>
      </w:r>
      <w:r w:rsidRPr="003A049E">
        <w:rPr>
          <w:rFonts w:ascii="Times New Roman" w:hAnsi="Times New Roman" w:cs="Times New Roman"/>
          <w:sz w:val="24"/>
          <w:szCs w:val="24"/>
        </w:rPr>
        <w:t xml:space="preserve"> </w:t>
      </w:r>
    </w:p>
    <w:p w14:paraId="01812D4D" w14:textId="77777777" w:rsidR="003C347B" w:rsidRPr="003A049E" w:rsidRDefault="003C347B" w:rsidP="001A6AAC">
      <w:pPr>
        <w:spacing w:before="240"/>
        <w:ind w:left="2124"/>
        <w:jc w:val="both"/>
        <w:rPr>
          <w:rFonts w:ascii="Times New Roman" w:hAnsi="Times New Roman" w:cs="Times New Roman"/>
          <w:sz w:val="24"/>
          <w:szCs w:val="24"/>
        </w:rPr>
      </w:pPr>
      <w:r>
        <w:rPr>
          <w:rFonts w:ascii="Times New Roman" w:hAnsi="Times New Roman" w:cs="Times New Roman"/>
          <w:sz w:val="24"/>
          <w:szCs w:val="24"/>
        </w:rPr>
        <w:t>P</w:t>
      </w:r>
      <w:r w:rsidRPr="003A049E">
        <w:rPr>
          <w:rFonts w:ascii="Times New Roman" w:hAnsi="Times New Roman" w:cs="Times New Roman"/>
          <w:sz w:val="24"/>
          <w:szCs w:val="24"/>
        </w:rPr>
        <w:t xml:space="preserve">oužití aplikace je značně zkomplikováno, obcházení problému znamená zvýšenou náročnost práce, vícenáklady na straně objednatele, případně způsobuje organizační problémy. </w:t>
      </w:r>
    </w:p>
    <w:p w14:paraId="53B3A1E9" w14:textId="77777777" w:rsidR="003C347B" w:rsidRDefault="003C347B" w:rsidP="001A6AAC">
      <w:pPr>
        <w:pStyle w:val="Odstavecseseznamem"/>
        <w:numPr>
          <w:ilvl w:val="2"/>
          <w:numId w:val="5"/>
        </w:numPr>
        <w:spacing w:before="240"/>
        <w:jc w:val="both"/>
        <w:rPr>
          <w:rFonts w:ascii="Times New Roman" w:hAnsi="Times New Roman" w:cs="Times New Roman"/>
          <w:b/>
          <w:sz w:val="24"/>
          <w:szCs w:val="24"/>
        </w:rPr>
      </w:pPr>
      <w:r w:rsidRPr="003F4BA9">
        <w:rPr>
          <w:rFonts w:ascii="Times New Roman" w:hAnsi="Times New Roman" w:cs="Times New Roman"/>
          <w:b/>
          <w:sz w:val="24"/>
          <w:szCs w:val="24"/>
        </w:rPr>
        <w:t>Vada</w:t>
      </w:r>
    </w:p>
    <w:p w14:paraId="2D5757AA" w14:textId="77777777" w:rsidR="003C347B" w:rsidRPr="003F4BA9" w:rsidRDefault="003C347B" w:rsidP="001A6AAC">
      <w:pPr>
        <w:spacing w:before="240"/>
        <w:ind w:left="2124"/>
        <w:jc w:val="both"/>
        <w:rPr>
          <w:rFonts w:ascii="Times New Roman" w:hAnsi="Times New Roman" w:cs="Times New Roman"/>
          <w:sz w:val="24"/>
          <w:szCs w:val="24"/>
        </w:rPr>
      </w:pPr>
      <w:r>
        <w:rPr>
          <w:rFonts w:ascii="Times New Roman" w:hAnsi="Times New Roman" w:cs="Times New Roman"/>
          <w:sz w:val="24"/>
          <w:szCs w:val="24"/>
        </w:rPr>
        <w:t>R</w:t>
      </w:r>
      <w:r w:rsidRPr="003A049E">
        <w:rPr>
          <w:rFonts w:ascii="Times New Roman" w:hAnsi="Times New Roman" w:cs="Times New Roman"/>
          <w:sz w:val="24"/>
          <w:szCs w:val="24"/>
        </w:rPr>
        <w:t>ozpor s dokumentací nebo obecně platnými</w:t>
      </w:r>
      <w:r>
        <w:rPr>
          <w:rFonts w:ascii="Times New Roman" w:hAnsi="Times New Roman" w:cs="Times New Roman"/>
          <w:sz w:val="24"/>
          <w:szCs w:val="24"/>
        </w:rPr>
        <w:t xml:space="preserve"> </w:t>
      </w:r>
      <w:r w:rsidRPr="003A049E">
        <w:rPr>
          <w:rFonts w:ascii="Times New Roman" w:hAnsi="Times New Roman" w:cs="Times New Roman"/>
          <w:sz w:val="24"/>
          <w:szCs w:val="24"/>
        </w:rPr>
        <w:t>pravidly</w:t>
      </w:r>
      <w:r w:rsidRPr="003F4BA9">
        <w:rPr>
          <w:rFonts w:ascii="Times New Roman" w:hAnsi="Times New Roman" w:cs="Times New Roman"/>
          <w:sz w:val="24"/>
          <w:szCs w:val="24"/>
        </w:rPr>
        <w:t>. Klíčové funkcionality jsou zachovány.</w:t>
      </w:r>
    </w:p>
    <w:p w14:paraId="0ACAE8E8" w14:textId="77777777"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1C64B4">
        <w:rPr>
          <w:rFonts w:ascii="Times New Roman" w:hAnsi="Times New Roman" w:cs="Times New Roman"/>
          <w:sz w:val="24"/>
          <w:szCs w:val="24"/>
        </w:rPr>
        <w:t xml:space="preserve"> v rámci sjednaného měsíčního paušálu hradí náklady spojené s dopravou technika na místo opravy, práci servisního technika a všechny úkony související s plněním dle této Smlouvy. Objednatel zabezpečí ve svém areálu pro servisního technika bezplatné parkování.</w:t>
      </w:r>
    </w:p>
    <w:p w14:paraId="6590684F" w14:textId="6902043F"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D3619E">
        <w:rPr>
          <w:rFonts w:ascii="Times New Roman" w:hAnsi="Times New Roman" w:cs="Times New Roman"/>
          <w:sz w:val="24"/>
          <w:szCs w:val="24"/>
        </w:rPr>
        <w:t xml:space="preserve">Objednatel ohlásí vadu dodavateli bezodkladně ihned po jejím zjištění </w:t>
      </w:r>
      <w:r>
        <w:rPr>
          <w:rFonts w:ascii="Times New Roman" w:hAnsi="Times New Roman" w:cs="Times New Roman"/>
          <w:sz w:val="24"/>
          <w:szCs w:val="24"/>
        </w:rPr>
        <w:t xml:space="preserve">buď </w:t>
      </w:r>
      <w:r w:rsidRPr="00D3619E">
        <w:rPr>
          <w:rFonts w:ascii="Times New Roman" w:hAnsi="Times New Roman" w:cs="Times New Roman"/>
          <w:sz w:val="24"/>
          <w:szCs w:val="24"/>
        </w:rPr>
        <w:t>zápisem do záznamu v systému HelpDesk, nebo telefonicky na čísle [</w:t>
      </w:r>
      <w:r w:rsidRPr="00EB208C">
        <w:rPr>
          <w:rFonts w:ascii="Times New Roman" w:hAnsi="Times New Roman" w:cs="Times New Roman"/>
          <w:sz w:val="24"/>
          <w:szCs w:val="24"/>
          <w:highlight w:val="yellow"/>
        </w:rPr>
        <w:t>DOPLNÍ DODAVATEL</w:t>
      </w:r>
      <w:r w:rsidRPr="00D3619E">
        <w:rPr>
          <w:rFonts w:ascii="Times New Roman" w:hAnsi="Times New Roman" w:cs="Times New Roman"/>
          <w:sz w:val="24"/>
          <w:szCs w:val="24"/>
        </w:rPr>
        <w:t xml:space="preserve">]. </w:t>
      </w:r>
      <w:r>
        <w:rPr>
          <w:rFonts w:ascii="Times New Roman" w:hAnsi="Times New Roman" w:cs="Times New Roman"/>
          <w:sz w:val="24"/>
          <w:szCs w:val="24"/>
        </w:rPr>
        <w:t xml:space="preserve">Časem nahlášení je čas telefonátu nebo čas zápisu do </w:t>
      </w:r>
      <w:proofErr w:type="spellStart"/>
      <w:r>
        <w:rPr>
          <w:rFonts w:ascii="Times New Roman" w:hAnsi="Times New Roman" w:cs="Times New Roman"/>
          <w:sz w:val="24"/>
          <w:szCs w:val="24"/>
        </w:rPr>
        <w:t>HelDesku</w:t>
      </w:r>
      <w:proofErr w:type="spellEnd"/>
      <w:r>
        <w:rPr>
          <w:rFonts w:ascii="Times New Roman" w:hAnsi="Times New Roman" w:cs="Times New Roman"/>
          <w:sz w:val="24"/>
          <w:szCs w:val="24"/>
        </w:rPr>
        <w:t xml:space="preserve"> dle toho, která událost nastane dříve, přičemž objednatel v případě telefonátu zapíše následně do záznamu čas hovoru. </w:t>
      </w:r>
    </w:p>
    <w:p w14:paraId="6FFE9D2D" w14:textId="77777777" w:rsidR="003C347B" w:rsidRPr="00934C97"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934C97">
        <w:rPr>
          <w:rFonts w:ascii="Times New Roman" w:hAnsi="Times New Roman" w:cs="Times New Roman"/>
          <w:b/>
          <w:sz w:val="24"/>
          <w:szCs w:val="24"/>
        </w:rPr>
        <w:t>Garantované reakční doby:</w:t>
      </w:r>
      <w:r w:rsidRPr="00934C97">
        <w:rPr>
          <w:rFonts w:ascii="Times New Roman" w:hAnsi="Times New Roman" w:cs="Times New Roman"/>
          <w:b/>
          <w:sz w:val="24"/>
          <w:szCs w:val="24"/>
        </w:rPr>
        <w:br/>
      </w:r>
      <w:r w:rsidRPr="00934C97">
        <w:rPr>
          <w:rFonts w:ascii="Times New Roman" w:hAnsi="Times New Roman" w:cs="Times New Roman"/>
          <w:sz w:val="24"/>
          <w:szCs w:val="24"/>
        </w:rPr>
        <w:t>Dodavatel je povinen nastoupit k odstranění nahlášené vady bez zbytečného odkladu, nejpozději však do níže uvedené doby</w:t>
      </w:r>
      <w:r>
        <w:rPr>
          <w:rFonts w:ascii="Times New Roman" w:hAnsi="Times New Roman" w:cs="Times New Roman"/>
          <w:sz w:val="24"/>
          <w:szCs w:val="24"/>
        </w:rPr>
        <w:t xml:space="preserve"> </w:t>
      </w:r>
      <w:r w:rsidRPr="00934C97">
        <w:rPr>
          <w:rFonts w:ascii="Times New Roman" w:hAnsi="Times New Roman" w:cs="Times New Roman"/>
          <w:sz w:val="24"/>
          <w:szCs w:val="24"/>
        </w:rPr>
        <w:t>od okamžiku nahlášení</w:t>
      </w:r>
      <w:r>
        <w:rPr>
          <w:rFonts w:ascii="Times New Roman" w:hAnsi="Times New Roman" w:cs="Times New Roman"/>
          <w:sz w:val="24"/>
          <w:szCs w:val="24"/>
        </w:rPr>
        <w:t>.</w:t>
      </w:r>
      <w:r w:rsidRPr="00934C97">
        <w:rPr>
          <w:rFonts w:ascii="Times New Roman" w:hAnsi="Times New Roman" w:cs="Times New Roman"/>
          <w:sz w:val="24"/>
          <w:szCs w:val="24"/>
        </w:rPr>
        <w:t xml:space="preserve"> </w:t>
      </w:r>
      <w:r>
        <w:rPr>
          <w:rFonts w:ascii="Times New Roman" w:hAnsi="Times New Roman" w:cs="Times New Roman"/>
          <w:sz w:val="24"/>
          <w:szCs w:val="24"/>
        </w:rPr>
        <w:br/>
        <w:t xml:space="preserve">Časem zahájení servisní činnosti je čas písemného požadavku (email) pracovníka dodavatele o otevření vzdáleného přístupu (VPN), případně příchod pracovníka </w:t>
      </w:r>
      <w:r>
        <w:rPr>
          <w:rFonts w:ascii="Times New Roman" w:hAnsi="Times New Roman" w:cs="Times New Roman"/>
          <w:sz w:val="24"/>
          <w:szCs w:val="24"/>
        </w:rPr>
        <w:lastRenderedPageBreak/>
        <w:t>dodavatele na místo objednatele.</w:t>
      </w:r>
      <w:r w:rsidRPr="00934C97">
        <w:rPr>
          <w:rFonts w:ascii="Times New Roman" w:hAnsi="Times New Roman" w:cs="Times New Roman"/>
          <w:sz w:val="24"/>
          <w:szCs w:val="24"/>
        </w:rPr>
        <w:br/>
      </w:r>
    </w:p>
    <w:tbl>
      <w:tblPr>
        <w:tblStyle w:val="Mkatabulky"/>
        <w:tblW w:w="0" w:type="auto"/>
        <w:tblInd w:w="720" w:type="dxa"/>
        <w:tblLook w:val="04A0" w:firstRow="1" w:lastRow="0" w:firstColumn="1" w:lastColumn="0" w:noHBand="0" w:noVBand="1"/>
      </w:tblPr>
      <w:tblGrid>
        <w:gridCol w:w="2058"/>
        <w:gridCol w:w="1571"/>
        <w:gridCol w:w="1571"/>
        <w:gridCol w:w="1571"/>
        <w:gridCol w:w="1571"/>
      </w:tblGrid>
      <w:tr w:rsidR="003C347B" w14:paraId="1695B07F" w14:textId="77777777" w:rsidTr="005E2369">
        <w:tc>
          <w:tcPr>
            <w:tcW w:w="2058" w:type="dxa"/>
            <w:shd w:val="clear" w:color="auto" w:fill="92D050"/>
          </w:tcPr>
          <w:p w14:paraId="15E0B891"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Kategorie události</w:t>
            </w:r>
          </w:p>
        </w:tc>
        <w:tc>
          <w:tcPr>
            <w:tcW w:w="1571" w:type="dxa"/>
            <w:shd w:val="clear" w:color="auto" w:fill="92D050"/>
          </w:tcPr>
          <w:p w14:paraId="691557D5"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Zahájení činnosti vzdáleně</w:t>
            </w:r>
          </w:p>
        </w:tc>
        <w:tc>
          <w:tcPr>
            <w:tcW w:w="1571" w:type="dxa"/>
            <w:shd w:val="clear" w:color="auto" w:fill="92D050"/>
          </w:tcPr>
          <w:p w14:paraId="72D77951"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Zahájení činnosti na místě</w:t>
            </w:r>
          </w:p>
        </w:tc>
        <w:tc>
          <w:tcPr>
            <w:tcW w:w="1571" w:type="dxa"/>
            <w:shd w:val="clear" w:color="auto" w:fill="92D050"/>
          </w:tcPr>
          <w:p w14:paraId="4F560AB1"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Doba vyřešení události vzdáleně</w:t>
            </w:r>
          </w:p>
        </w:tc>
        <w:tc>
          <w:tcPr>
            <w:tcW w:w="1571" w:type="dxa"/>
            <w:shd w:val="clear" w:color="auto" w:fill="92D050"/>
          </w:tcPr>
          <w:p w14:paraId="32E5024A"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Doba vyřešení události na místě</w:t>
            </w:r>
          </w:p>
        </w:tc>
      </w:tr>
      <w:tr w:rsidR="003C347B" w14:paraId="1E81D035" w14:textId="77777777" w:rsidTr="005E2369">
        <w:tc>
          <w:tcPr>
            <w:tcW w:w="2058" w:type="dxa"/>
          </w:tcPr>
          <w:p w14:paraId="07A0A2ED"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A. Havárie</w:t>
            </w:r>
          </w:p>
        </w:tc>
        <w:tc>
          <w:tcPr>
            <w:tcW w:w="1571" w:type="dxa"/>
          </w:tcPr>
          <w:p w14:paraId="389706B6"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2 hod.</w:t>
            </w:r>
          </w:p>
        </w:tc>
        <w:tc>
          <w:tcPr>
            <w:tcW w:w="1571" w:type="dxa"/>
          </w:tcPr>
          <w:p w14:paraId="14E938D4"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4 hod</w:t>
            </w:r>
          </w:p>
        </w:tc>
        <w:tc>
          <w:tcPr>
            <w:tcW w:w="1571" w:type="dxa"/>
          </w:tcPr>
          <w:p w14:paraId="5235E625"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4 hod.</w:t>
            </w:r>
          </w:p>
        </w:tc>
        <w:tc>
          <w:tcPr>
            <w:tcW w:w="1571" w:type="dxa"/>
          </w:tcPr>
          <w:p w14:paraId="78CAFE11"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4 hod.</w:t>
            </w:r>
          </w:p>
        </w:tc>
      </w:tr>
      <w:tr w:rsidR="003C347B" w14:paraId="4E262F59" w14:textId="77777777" w:rsidTr="005E2369">
        <w:tc>
          <w:tcPr>
            <w:tcW w:w="2058" w:type="dxa"/>
          </w:tcPr>
          <w:p w14:paraId="751D48CF"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B. Porucha</w:t>
            </w:r>
          </w:p>
        </w:tc>
        <w:tc>
          <w:tcPr>
            <w:tcW w:w="1571" w:type="dxa"/>
          </w:tcPr>
          <w:p w14:paraId="7F7F18F1"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2 hod.</w:t>
            </w:r>
          </w:p>
        </w:tc>
        <w:tc>
          <w:tcPr>
            <w:tcW w:w="1571" w:type="dxa"/>
          </w:tcPr>
          <w:p w14:paraId="49ECDD8C"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4 hod</w:t>
            </w:r>
          </w:p>
        </w:tc>
        <w:tc>
          <w:tcPr>
            <w:tcW w:w="1571" w:type="dxa"/>
          </w:tcPr>
          <w:p w14:paraId="1EFC116A"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12 hod.</w:t>
            </w:r>
          </w:p>
        </w:tc>
        <w:tc>
          <w:tcPr>
            <w:tcW w:w="1571" w:type="dxa"/>
          </w:tcPr>
          <w:p w14:paraId="4734C2E9"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12 hod.</w:t>
            </w:r>
          </w:p>
        </w:tc>
      </w:tr>
      <w:tr w:rsidR="003C347B" w14:paraId="64EFF6CE" w14:textId="77777777" w:rsidTr="005E2369">
        <w:tc>
          <w:tcPr>
            <w:tcW w:w="2058" w:type="dxa"/>
          </w:tcPr>
          <w:p w14:paraId="29F346D8" w14:textId="77777777" w:rsidR="003C347B" w:rsidRPr="00934C97" w:rsidRDefault="003C347B" w:rsidP="001A6AAC">
            <w:pPr>
              <w:spacing w:before="240"/>
              <w:jc w:val="both"/>
              <w:rPr>
                <w:rFonts w:ascii="Times New Roman" w:hAnsi="Times New Roman" w:cs="Times New Roman"/>
                <w:b/>
                <w:sz w:val="24"/>
                <w:szCs w:val="24"/>
              </w:rPr>
            </w:pPr>
            <w:r w:rsidRPr="00934C97">
              <w:rPr>
                <w:rFonts w:ascii="Times New Roman" w:hAnsi="Times New Roman" w:cs="Times New Roman"/>
                <w:b/>
                <w:sz w:val="24"/>
                <w:szCs w:val="24"/>
              </w:rPr>
              <w:t>C. Vada</w:t>
            </w:r>
          </w:p>
        </w:tc>
        <w:tc>
          <w:tcPr>
            <w:tcW w:w="1571" w:type="dxa"/>
          </w:tcPr>
          <w:p w14:paraId="74F19A51"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12 hod.</w:t>
            </w:r>
          </w:p>
        </w:tc>
        <w:tc>
          <w:tcPr>
            <w:tcW w:w="1571" w:type="dxa"/>
          </w:tcPr>
          <w:p w14:paraId="73BA0B0F"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w:t>
            </w:r>
          </w:p>
        </w:tc>
        <w:tc>
          <w:tcPr>
            <w:tcW w:w="1571" w:type="dxa"/>
          </w:tcPr>
          <w:p w14:paraId="4347458C"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72 hod.</w:t>
            </w:r>
          </w:p>
        </w:tc>
        <w:tc>
          <w:tcPr>
            <w:tcW w:w="1571" w:type="dxa"/>
          </w:tcPr>
          <w:p w14:paraId="2043D285" w14:textId="77777777" w:rsidR="003C347B" w:rsidRPr="00705A3F" w:rsidRDefault="003C347B" w:rsidP="001A6AAC">
            <w:pPr>
              <w:spacing w:before="240"/>
              <w:jc w:val="both"/>
              <w:rPr>
                <w:rFonts w:ascii="Times New Roman" w:hAnsi="Times New Roman" w:cs="Times New Roman"/>
                <w:sz w:val="24"/>
                <w:szCs w:val="24"/>
              </w:rPr>
            </w:pPr>
            <w:r>
              <w:rPr>
                <w:rFonts w:ascii="Times New Roman" w:hAnsi="Times New Roman" w:cs="Times New Roman"/>
                <w:sz w:val="24"/>
                <w:szCs w:val="24"/>
              </w:rPr>
              <w:t>-</w:t>
            </w:r>
          </w:p>
        </w:tc>
      </w:tr>
    </w:tbl>
    <w:p w14:paraId="64DC2968" w14:textId="77777777" w:rsidR="003C347B" w:rsidRPr="006D6AA3" w:rsidRDefault="003C347B" w:rsidP="001A6AAC">
      <w:pPr>
        <w:pStyle w:val="Odstavecseseznamem"/>
        <w:spacing w:before="240"/>
        <w:contextualSpacing w:val="0"/>
        <w:jc w:val="both"/>
        <w:rPr>
          <w:rFonts w:ascii="Times New Roman" w:hAnsi="Times New Roman" w:cs="Times New Roman"/>
          <w:sz w:val="24"/>
          <w:szCs w:val="24"/>
        </w:rPr>
      </w:pPr>
    </w:p>
    <w:p w14:paraId="6D2D5C30" w14:textId="0D69DD86" w:rsidR="003C347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w:t>
      </w:r>
      <w:r>
        <w:rPr>
          <w:rFonts w:ascii="Times New Roman" w:hAnsi="Times New Roman" w:cs="Times New Roman"/>
          <w:sz w:val="24"/>
          <w:szCs w:val="24"/>
        </w:rPr>
        <w:t xml:space="preserve">pracovník </w:t>
      </w:r>
      <w:r w:rsidRPr="00320C9B">
        <w:rPr>
          <w:rFonts w:ascii="Times New Roman" w:hAnsi="Times New Roman" w:cs="Times New Roman"/>
          <w:sz w:val="24"/>
          <w:szCs w:val="24"/>
        </w:rPr>
        <w:t>dodavatel</w:t>
      </w:r>
      <w:r>
        <w:rPr>
          <w:rFonts w:ascii="Times New Roman" w:hAnsi="Times New Roman" w:cs="Times New Roman"/>
          <w:sz w:val="24"/>
          <w:szCs w:val="24"/>
        </w:rPr>
        <w:t>e</w:t>
      </w:r>
      <w:r w:rsidRPr="00320C9B">
        <w:rPr>
          <w:rFonts w:ascii="Times New Roman" w:hAnsi="Times New Roman" w:cs="Times New Roman"/>
          <w:sz w:val="24"/>
          <w:szCs w:val="24"/>
        </w:rPr>
        <w:t xml:space="preserve"> nenastoupí k odstranění nahlášené vady ve lhůtě podle odstavce </w:t>
      </w:r>
      <w:r w:rsidR="00021D98">
        <w:rPr>
          <w:rFonts w:ascii="Times New Roman" w:hAnsi="Times New Roman" w:cs="Times New Roman"/>
          <w:sz w:val="24"/>
          <w:szCs w:val="24"/>
        </w:rPr>
        <w:t>8</w:t>
      </w:r>
      <w:r w:rsidRPr="00320C9B">
        <w:rPr>
          <w:rFonts w:ascii="Times New Roman" w:hAnsi="Times New Roman" w:cs="Times New Roman"/>
          <w:sz w:val="24"/>
          <w:szCs w:val="24"/>
        </w:rPr>
        <w:t xml:space="preserve">. tohoto článku, je dodavatel povinen uhradit objednateli smluvní pokutu ve výši </w:t>
      </w:r>
      <w:r>
        <w:rPr>
          <w:rFonts w:ascii="Times New Roman" w:hAnsi="Times New Roman" w:cs="Times New Roman"/>
          <w:sz w:val="24"/>
          <w:szCs w:val="24"/>
        </w:rPr>
        <w:t>2</w:t>
      </w:r>
      <w:r w:rsidRPr="00320C9B">
        <w:rPr>
          <w:rFonts w:ascii="Times New Roman" w:hAnsi="Times New Roman" w:cs="Times New Roman"/>
          <w:sz w:val="24"/>
          <w:szCs w:val="24"/>
        </w:rPr>
        <w:t xml:space="preserve">000,- Kč (bez DPH), a to za každou započatou hodinu prodlení. Nárok objednatele na náhradu škody tím není dotčen. </w:t>
      </w:r>
    </w:p>
    <w:p w14:paraId="00367C60" w14:textId="31642217" w:rsidR="003C347B" w:rsidRPr="00320C9B"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dodavatel neodstraní vadu nahlášenou ve lhůtě podle odstavce </w:t>
      </w:r>
      <w:r w:rsidR="00021D98">
        <w:rPr>
          <w:rFonts w:ascii="Times New Roman" w:hAnsi="Times New Roman" w:cs="Times New Roman"/>
          <w:sz w:val="24"/>
          <w:szCs w:val="24"/>
        </w:rPr>
        <w:t>8</w:t>
      </w:r>
      <w:r w:rsidRPr="00320C9B">
        <w:rPr>
          <w:rFonts w:ascii="Times New Roman" w:hAnsi="Times New Roman" w:cs="Times New Roman"/>
          <w:sz w:val="24"/>
          <w:szCs w:val="24"/>
        </w:rPr>
        <w:t>. tohoto článku, je dodavatel povinen uhradit objednateli smluvní pokutu ve výši 1000,- Kč (bez DPH), a to za každou i započatou hodinu prodlení. Nárok objednatele na náhradu škody tím není dotčen.</w:t>
      </w:r>
      <w:r>
        <w:rPr>
          <w:rFonts w:ascii="Times New Roman" w:hAnsi="Times New Roman" w:cs="Times New Roman"/>
          <w:sz w:val="24"/>
          <w:szCs w:val="24"/>
        </w:rPr>
        <w:t xml:space="preserve"> V odůvodněných případech (např. při vadě komponenty třetí strany) se mohou </w:t>
      </w:r>
      <w:r w:rsidRPr="006D6AA3">
        <w:rPr>
          <w:rFonts w:ascii="Times New Roman" w:hAnsi="Times New Roman" w:cs="Times New Roman"/>
          <w:sz w:val="24"/>
          <w:szCs w:val="24"/>
        </w:rPr>
        <w:t xml:space="preserve">smluvní strany písemně </w:t>
      </w:r>
      <w:r>
        <w:rPr>
          <w:rFonts w:ascii="Times New Roman" w:hAnsi="Times New Roman" w:cs="Times New Roman"/>
          <w:sz w:val="24"/>
          <w:szCs w:val="24"/>
        </w:rPr>
        <w:t xml:space="preserve">dohodnout </w:t>
      </w:r>
      <w:r w:rsidRPr="006D6AA3">
        <w:rPr>
          <w:rFonts w:ascii="Times New Roman" w:hAnsi="Times New Roman" w:cs="Times New Roman"/>
          <w:sz w:val="24"/>
          <w:szCs w:val="24"/>
        </w:rPr>
        <w:t>na lhůtě delší. Tato dohoda může být provedena</w:t>
      </w:r>
      <w:r>
        <w:rPr>
          <w:rFonts w:ascii="Times New Roman" w:hAnsi="Times New Roman" w:cs="Times New Roman"/>
          <w:sz w:val="24"/>
          <w:szCs w:val="24"/>
        </w:rPr>
        <w:t xml:space="preserve"> </w:t>
      </w:r>
      <w:r w:rsidRPr="006D6AA3">
        <w:rPr>
          <w:rFonts w:ascii="Times New Roman" w:hAnsi="Times New Roman" w:cs="Times New Roman"/>
          <w:sz w:val="24"/>
          <w:szCs w:val="24"/>
        </w:rPr>
        <w:t>formou písemného zápisu či formou emailového potvrzení odpovědnými zaměstnanci obou smluvních stran</w:t>
      </w:r>
      <w:r>
        <w:rPr>
          <w:rFonts w:ascii="Times New Roman" w:hAnsi="Times New Roman" w:cs="Times New Roman"/>
          <w:sz w:val="24"/>
          <w:szCs w:val="24"/>
        </w:rPr>
        <w:t>.</w:t>
      </w:r>
    </w:p>
    <w:p w14:paraId="454E27BF" w14:textId="697C9FF9" w:rsidR="003C347B" w:rsidRPr="006D6AA3" w:rsidRDefault="003C347B" w:rsidP="001A6AAC">
      <w:pPr>
        <w:pStyle w:val="Odstavecseseznamem"/>
        <w:numPr>
          <w:ilvl w:val="0"/>
          <w:numId w:val="5"/>
        </w:numPr>
        <w:spacing w:before="240"/>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Neodstraní-li </w:t>
      </w:r>
      <w:r>
        <w:rPr>
          <w:rFonts w:ascii="Times New Roman" w:hAnsi="Times New Roman" w:cs="Times New Roman"/>
          <w:sz w:val="24"/>
          <w:szCs w:val="24"/>
        </w:rPr>
        <w:t>dodavatel</w:t>
      </w:r>
      <w:r w:rsidRPr="006D6AA3">
        <w:rPr>
          <w:rFonts w:ascii="Times New Roman" w:hAnsi="Times New Roman" w:cs="Times New Roman"/>
          <w:sz w:val="24"/>
          <w:szCs w:val="24"/>
        </w:rPr>
        <w:t xml:space="preserve"> vady předmětu plnění v souladu s touto smlouvou řádně a včas, a to ani v</w:t>
      </w:r>
      <w:r>
        <w:rPr>
          <w:rFonts w:ascii="Times New Roman" w:hAnsi="Times New Roman" w:cs="Times New Roman"/>
          <w:sz w:val="24"/>
          <w:szCs w:val="24"/>
        </w:rPr>
        <w:t> </w:t>
      </w:r>
      <w:r w:rsidRPr="006D6AA3">
        <w:rPr>
          <w:rFonts w:ascii="Times New Roman" w:hAnsi="Times New Roman" w:cs="Times New Roman"/>
          <w:sz w:val="24"/>
          <w:szCs w:val="24"/>
        </w:rPr>
        <w:t>dodatečné</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přiměřené lhůtě poskytnuté mu k tomu </w:t>
      </w:r>
      <w:r>
        <w:rPr>
          <w:rFonts w:ascii="Times New Roman" w:hAnsi="Times New Roman" w:cs="Times New Roman"/>
          <w:sz w:val="24"/>
          <w:szCs w:val="24"/>
        </w:rPr>
        <w:t>objednatelem</w:t>
      </w:r>
      <w:r w:rsidRPr="006D6AA3">
        <w:rPr>
          <w:rFonts w:ascii="Times New Roman" w:hAnsi="Times New Roman" w:cs="Times New Roman"/>
          <w:sz w:val="24"/>
          <w:szCs w:val="24"/>
        </w:rPr>
        <w:t xml:space="preserve">, je </w:t>
      </w:r>
      <w:r>
        <w:rPr>
          <w:rFonts w:ascii="Times New Roman" w:hAnsi="Times New Roman" w:cs="Times New Roman"/>
          <w:sz w:val="24"/>
          <w:szCs w:val="24"/>
        </w:rPr>
        <w:t>objednatel</w:t>
      </w:r>
      <w:r w:rsidRPr="006D6AA3">
        <w:rPr>
          <w:rFonts w:ascii="Times New Roman" w:hAnsi="Times New Roman" w:cs="Times New Roman"/>
          <w:sz w:val="24"/>
          <w:szCs w:val="24"/>
        </w:rPr>
        <w:t xml:space="preserve"> oprávněn nechat odstranit vady předmětu třetí</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osobou. </w:t>
      </w:r>
      <w:r>
        <w:rPr>
          <w:rFonts w:ascii="Times New Roman" w:hAnsi="Times New Roman" w:cs="Times New Roman"/>
          <w:sz w:val="24"/>
          <w:szCs w:val="24"/>
        </w:rPr>
        <w:t>Dodavatel</w:t>
      </w:r>
      <w:r w:rsidRPr="006D6AA3">
        <w:rPr>
          <w:rFonts w:ascii="Times New Roman" w:hAnsi="Times New Roman" w:cs="Times New Roman"/>
          <w:sz w:val="24"/>
          <w:szCs w:val="24"/>
        </w:rPr>
        <w:t xml:space="preserve"> se pak zavazuje nahradit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veškeré účelně vynaložené a prokázané náklady na</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odstranění vad předmětu plnění třetí osobou. Tímto není dotčen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jakož</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ani nárok na zaplacení smluvní pokuty dle odstavce </w:t>
      </w:r>
      <w:r>
        <w:rPr>
          <w:rFonts w:ascii="Times New Roman" w:hAnsi="Times New Roman" w:cs="Times New Roman"/>
          <w:sz w:val="24"/>
          <w:szCs w:val="24"/>
        </w:rPr>
        <w:t>1</w:t>
      </w:r>
      <w:r w:rsidR="00B319EE">
        <w:rPr>
          <w:rFonts w:ascii="Times New Roman" w:hAnsi="Times New Roman" w:cs="Times New Roman"/>
          <w:sz w:val="24"/>
          <w:szCs w:val="24"/>
        </w:rPr>
        <w:t>0</w:t>
      </w:r>
      <w:r w:rsidRPr="006D6AA3">
        <w:rPr>
          <w:rFonts w:ascii="Times New Roman" w:hAnsi="Times New Roman" w:cs="Times New Roman"/>
          <w:sz w:val="24"/>
          <w:szCs w:val="24"/>
        </w:rPr>
        <w:t>. tohoto článku.</w:t>
      </w:r>
    </w:p>
    <w:p w14:paraId="62579F0E" w14:textId="77777777" w:rsidR="003C347B" w:rsidRDefault="003C347B" w:rsidP="001A6AAC">
      <w:pPr>
        <w:spacing w:before="240"/>
        <w:jc w:val="both"/>
        <w:rPr>
          <w:rFonts w:ascii="Times New Roman" w:hAnsi="Times New Roman" w:cs="Times New Roman"/>
          <w:sz w:val="24"/>
          <w:szCs w:val="24"/>
        </w:rPr>
      </w:pPr>
    </w:p>
    <w:p w14:paraId="30D6A919" w14:textId="77777777" w:rsidR="003C347B" w:rsidRPr="003C347B" w:rsidRDefault="003C347B" w:rsidP="001A6AAC">
      <w:pPr>
        <w:spacing w:before="240"/>
        <w:jc w:val="both"/>
        <w:rPr>
          <w:rFonts w:ascii="Times New Roman" w:hAnsi="Times New Roman" w:cs="Times New Roman"/>
          <w:i/>
          <w:iCs/>
        </w:rPr>
      </w:pPr>
    </w:p>
    <w:sectPr w:rsidR="003C347B" w:rsidRPr="003C3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F90CF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598829885">
    <w:abstractNumId w:val="2"/>
  </w:num>
  <w:num w:numId="2" w16cid:durableId="2099785812">
    <w:abstractNumId w:val="4"/>
  </w:num>
  <w:num w:numId="3" w16cid:durableId="372774369">
    <w:abstractNumId w:val="0"/>
  </w:num>
  <w:num w:numId="4" w16cid:durableId="235017142">
    <w:abstractNumId w:val="1"/>
  </w:num>
  <w:num w:numId="5" w16cid:durableId="667943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021D98"/>
    <w:rsid w:val="000C1CE4"/>
    <w:rsid w:val="001708BA"/>
    <w:rsid w:val="001A6AAC"/>
    <w:rsid w:val="002011D4"/>
    <w:rsid w:val="00360CDF"/>
    <w:rsid w:val="00362828"/>
    <w:rsid w:val="00367C2B"/>
    <w:rsid w:val="003C347B"/>
    <w:rsid w:val="004570FE"/>
    <w:rsid w:val="005615B4"/>
    <w:rsid w:val="00631EA1"/>
    <w:rsid w:val="006B35A9"/>
    <w:rsid w:val="0071611B"/>
    <w:rsid w:val="008E1813"/>
    <w:rsid w:val="009836B0"/>
    <w:rsid w:val="00AE4ADE"/>
    <w:rsid w:val="00B319EE"/>
    <w:rsid w:val="00BA4673"/>
    <w:rsid w:val="00C23E12"/>
    <w:rsid w:val="00C35CD0"/>
    <w:rsid w:val="00C91CE1"/>
    <w:rsid w:val="00CC5D0F"/>
    <w:rsid w:val="00CD7B88"/>
    <w:rsid w:val="00DE3CEA"/>
    <w:rsid w:val="00EB05AB"/>
    <w:rsid w:val="00EC1D07"/>
    <w:rsid w:val="00F125E1"/>
    <w:rsid w:val="00F30EBF"/>
    <w:rsid w:val="00F34A23"/>
    <w:rsid w:val="00F422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EE57"/>
  <w15:chartTrackingRefBased/>
  <w15:docId w15:val="{908F2106-3E32-40B2-ACBB-51BAB081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611B"/>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Revize">
    <w:name w:val="Revision"/>
    <w:hidden/>
    <w:uiPriority w:val="99"/>
    <w:semiHidden/>
    <w:rsid w:val="00631EA1"/>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akturace@nemocnicenachod.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B5FAB-E209-4F0D-A73D-6E895328D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4467</Words>
  <Characters>26357</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Bosnovičová</dc:creator>
  <cp:keywords/>
  <dc:description/>
  <cp:lastModifiedBy>Mária Bosnovičová</cp:lastModifiedBy>
  <cp:revision>23</cp:revision>
  <dcterms:created xsi:type="dcterms:W3CDTF">2024-10-02T17:54:00Z</dcterms:created>
  <dcterms:modified xsi:type="dcterms:W3CDTF">2024-10-07T11:07:00Z</dcterms:modified>
</cp:coreProperties>
</file>